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FD8" w:rsidRPr="00CB4FD8" w:rsidRDefault="00CB4FD8" w:rsidP="00CB4FD8">
      <w:pPr>
        <w:widowControl w:val="0"/>
        <w:tabs>
          <w:tab w:val="center" w:pos="4680"/>
          <w:tab w:val="left" w:pos="5040"/>
          <w:tab w:val="left" w:pos="5760"/>
          <w:tab w:val="left" w:pos="6480"/>
          <w:tab w:val="left" w:pos="7200"/>
          <w:tab w:val="left" w:pos="7920"/>
          <w:tab w:val="left" w:pos="8640"/>
          <w:tab w:val="left" w:pos="9360"/>
        </w:tabs>
        <w:spacing w:after="0" w:line="240" w:lineRule="auto"/>
        <w:ind w:right="576"/>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2019</w:t>
      </w:r>
      <w:r w:rsidRPr="00CB4FD8">
        <w:rPr>
          <w:rFonts w:ascii="Times New Roman" w:hAnsi="Times New Roman" w:cs="Times New Roman"/>
          <w:b/>
          <w:sz w:val="36"/>
          <w:szCs w:val="36"/>
        </w:rPr>
        <w:t xml:space="preserve"> PARMA ANNUAL RISK MANAGERS CONFERENCE</w:t>
      </w:r>
    </w:p>
    <w:p w:rsidR="00CB4FD8" w:rsidRPr="00CB4FD8" w:rsidRDefault="00CB4FD8" w:rsidP="00CB4FD8">
      <w:pPr>
        <w:widowControl w:val="0"/>
        <w:tabs>
          <w:tab w:val="center" w:pos="4680"/>
          <w:tab w:val="left" w:pos="5040"/>
          <w:tab w:val="left" w:pos="5760"/>
          <w:tab w:val="left" w:pos="6480"/>
          <w:tab w:val="left" w:pos="7200"/>
          <w:tab w:val="left" w:pos="7920"/>
          <w:tab w:val="left" w:pos="8640"/>
          <w:tab w:val="left" w:pos="9360"/>
        </w:tabs>
        <w:spacing w:after="0" w:line="240" w:lineRule="auto"/>
        <w:ind w:right="576"/>
        <w:jc w:val="center"/>
        <w:rPr>
          <w:rFonts w:ascii="Times New Roman" w:hAnsi="Times New Roman" w:cs="Times New Roman"/>
          <w:b/>
          <w:sz w:val="36"/>
          <w:szCs w:val="36"/>
        </w:rPr>
      </w:pPr>
      <w:r w:rsidRPr="00CB4FD8">
        <w:rPr>
          <w:rFonts w:ascii="Times New Roman" w:hAnsi="Times New Roman" w:cs="Times New Roman"/>
          <w:b/>
          <w:sz w:val="36"/>
          <w:szCs w:val="36"/>
        </w:rPr>
        <w:t xml:space="preserve">FEBRUARY </w:t>
      </w:r>
      <w:r>
        <w:rPr>
          <w:rFonts w:ascii="Times New Roman" w:hAnsi="Times New Roman" w:cs="Times New Roman"/>
          <w:b/>
          <w:sz w:val="36"/>
          <w:szCs w:val="36"/>
        </w:rPr>
        <w:t>12, 2019</w:t>
      </w:r>
      <w:r w:rsidRPr="00CB4FD8">
        <w:rPr>
          <w:rFonts w:ascii="Times New Roman" w:hAnsi="Times New Roman" w:cs="Times New Roman"/>
          <w:b/>
          <w:sz w:val="36"/>
          <w:szCs w:val="36"/>
        </w:rPr>
        <w:t xml:space="preserve"> – </w:t>
      </w:r>
      <w:r>
        <w:rPr>
          <w:rFonts w:ascii="Times New Roman" w:hAnsi="Times New Roman" w:cs="Times New Roman"/>
          <w:b/>
          <w:sz w:val="36"/>
          <w:szCs w:val="36"/>
        </w:rPr>
        <w:t>8:30 a</w:t>
      </w:r>
      <w:r w:rsidRPr="00CB4FD8">
        <w:rPr>
          <w:rFonts w:ascii="Times New Roman" w:hAnsi="Times New Roman" w:cs="Times New Roman"/>
          <w:b/>
          <w:sz w:val="36"/>
          <w:szCs w:val="36"/>
        </w:rPr>
        <w:t xml:space="preserve">.m. to </w:t>
      </w:r>
      <w:r>
        <w:rPr>
          <w:rFonts w:ascii="Times New Roman" w:hAnsi="Times New Roman" w:cs="Times New Roman"/>
          <w:b/>
          <w:sz w:val="36"/>
          <w:szCs w:val="36"/>
        </w:rPr>
        <w:t>10:00 a</w:t>
      </w:r>
      <w:r w:rsidRPr="00CB4FD8">
        <w:rPr>
          <w:rFonts w:ascii="Times New Roman" w:hAnsi="Times New Roman" w:cs="Times New Roman"/>
          <w:b/>
          <w:sz w:val="36"/>
          <w:szCs w:val="36"/>
        </w:rPr>
        <w:t>.m.</w:t>
      </w:r>
    </w:p>
    <w:p w:rsidR="00CB4FD8" w:rsidRPr="00CB4FD8" w:rsidRDefault="00CB4FD8" w:rsidP="00CB4FD8">
      <w:pPr>
        <w:widowControl w:val="0"/>
        <w:tabs>
          <w:tab w:val="center" w:pos="4680"/>
          <w:tab w:val="left" w:pos="5040"/>
          <w:tab w:val="left" w:pos="5760"/>
          <w:tab w:val="left" w:pos="6480"/>
          <w:tab w:val="left" w:pos="7200"/>
          <w:tab w:val="left" w:pos="7920"/>
          <w:tab w:val="left" w:pos="8640"/>
          <w:tab w:val="left" w:pos="9360"/>
        </w:tabs>
        <w:spacing w:after="0" w:line="240" w:lineRule="auto"/>
        <w:ind w:right="576"/>
        <w:jc w:val="center"/>
        <w:rPr>
          <w:rFonts w:ascii="Times New Roman" w:hAnsi="Times New Roman" w:cs="Times New Roman"/>
          <w:b/>
          <w:sz w:val="36"/>
          <w:szCs w:val="36"/>
        </w:rPr>
      </w:pPr>
      <w:r>
        <w:rPr>
          <w:rFonts w:ascii="Times New Roman" w:hAnsi="Times New Roman" w:cs="Times New Roman"/>
          <w:b/>
          <w:sz w:val="36"/>
          <w:szCs w:val="36"/>
        </w:rPr>
        <w:t>Disneyland Hotel</w:t>
      </w:r>
    </w:p>
    <w:p w:rsidR="00CB4FD8" w:rsidRDefault="00CB4FD8" w:rsidP="00CB4FD8">
      <w:pPr>
        <w:widowControl w:val="0"/>
        <w:tabs>
          <w:tab w:val="center" w:pos="4680"/>
          <w:tab w:val="left" w:pos="5040"/>
          <w:tab w:val="left" w:pos="5760"/>
          <w:tab w:val="left" w:pos="6480"/>
          <w:tab w:val="left" w:pos="7200"/>
          <w:tab w:val="left" w:pos="7920"/>
          <w:tab w:val="left" w:pos="8640"/>
          <w:tab w:val="left" w:pos="9360"/>
        </w:tabs>
        <w:spacing w:after="0" w:line="240" w:lineRule="auto"/>
        <w:ind w:right="576"/>
        <w:jc w:val="center"/>
        <w:rPr>
          <w:rFonts w:ascii="Times New Roman" w:hAnsi="Times New Roman" w:cs="Times New Roman"/>
          <w:b/>
          <w:sz w:val="36"/>
          <w:szCs w:val="36"/>
        </w:rPr>
      </w:pPr>
      <w:r>
        <w:rPr>
          <w:rFonts w:ascii="Times New Roman" w:hAnsi="Times New Roman" w:cs="Times New Roman"/>
          <w:b/>
          <w:sz w:val="36"/>
          <w:szCs w:val="36"/>
        </w:rPr>
        <w:t>Anaheim</w:t>
      </w:r>
      <w:r w:rsidRPr="00CB4FD8">
        <w:rPr>
          <w:rFonts w:ascii="Times New Roman" w:hAnsi="Times New Roman" w:cs="Times New Roman"/>
          <w:b/>
          <w:sz w:val="36"/>
          <w:szCs w:val="36"/>
        </w:rPr>
        <w:t>, CA</w:t>
      </w:r>
    </w:p>
    <w:p w:rsidR="00CB4FD8" w:rsidRDefault="00CB4FD8" w:rsidP="00CB4FD8">
      <w:pPr>
        <w:widowControl w:val="0"/>
        <w:tabs>
          <w:tab w:val="center" w:pos="4680"/>
          <w:tab w:val="left" w:pos="5040"/>
          <w:tab w:val="left" w:pos="5760"/>
          <w:tab w:val="left" w:pos="6480"/>
          <w:tab w:val="left" w:pos="7200"/>
          <w:tab w:val="left" w:pos="7920"/>
          <w:tab w:val="left" w:pos="8640"/>
          <w:tab w:val="left" w:pos="9360"/>
        </w:tabs>
        <w:spacing w:after="0" w:line="240" w:lineRule="auto"/>
        <w:ind w:right="576"/>
        <w:jc w:val="center"/>
        <w:rPr>
          <w:rFonts w:ascii="Times New Roman" w:hAnsi="Times New Roman" w:cs="Times New Roman"/>
          <w:b/>
          <w:sz w:val="36"/>
          <w:szCs w:val="36"/>
        </w:rPr>
      </w:pPr>
    </w:p>
    <w:p w:rsidR="00CB4FD8" w:rsidRPr="00CB4FD8" w:rsidRDefault="00CB4FD8" w:rsidP="00CB4FD8">
      <w:pPr>
        <w:widowControl w:val="0"/>
        <w:tabs>
          <w:tab w:val="center" w:pos="4680"/>
          <w:tab w:val="left" w:pos="5040"/>
          <w:tab w:val="left" w:pos="5760"/>
          <w:tab w:val="left" w:pos="6480"/>
          <w:tab w:val="left" w:pos="7200"/>
          <w:tab w:val="left" w:pos="7920"/>
          <w:tab w:val="left" w:pos="8640"/>
          <w:tab w:val="left" w:pos="9360"/>
        </w:tabs>
        <w:spacing w:after="0" w:line="240" w:lineRule="auto"/>
        <w:ind w:right="576"/>
        <w:jc w:val="center"/>
        <w:rPr>
          <w:rFonts w:ascii="Times New Roman" w:hAnsi="Times New Roman" w:cs="Times New Roman"/>
          <w:b/>
          <w:sz w:val="36"/>
          <w:szCs w:val="36"/>
        </w:rPr>
      </w:pPr>
    </w:p>
    <w:p w:rsidR="00CB4FD8" w:rsidRDefault="00CB4FD8" w:rsidP="00CB4FD8">
      <w:pPr>
        <w:pStyle w:val="Level1"/>
        <w:numPr>
          <w:ilvl w:val="0"/>
          <w:numId w:val="0"/>
        </w:numPr>
        <w:spacing w:line="240" w:lineRule="auto"/>
        <w:ind w:right="576"/>
        <w:jc w:val="center"/>
        <w:outlineLvl w:val="9"/>
        <w:rPr>
          <w:rFonts w:ascii="Times New Roman" w:hAnsi="Times New Roman" w:cs="Times New Roman"/>
          <w:sz w:val="36"/>
          <w:szCs w:val="36"/>
          <w:u w:val="single"/>
        </w:rPr>
      </w:pPr>
      <w:r w:rsidRPr="00CB4FD8">
        <w:rPr>
          <w:rFonts w:ascii="Times New Roman" w:hAnsi="Times New Roman" w:cs="Times New Roman"/>
          <w:sz w:val="36"/>
          <w:szCs w:val="36"/>
          <w:u w:val="single"/>
        </w:rPr>
        <w:t>THE ABCS OF CYBER – ASSESSING VULNERABILITIES, BALANCED RESPONSES, AND COVERAGE PITFALLS</w:t>
      </w:r>
    </w:p>
    <w:p w:rsidR="00CB4FD8" w:rsidRDefault="00CB4FD8" w:rsidP="00CB4FD8">
      <w:pPr>
        <w:pStyle w:val="15sp05"/>
      </w:pPr>
    </w:p>
    <w:p w:rsidR="00446D0D" w:rsidRPr="00CB4FD8" w:rsidRDefault="00446D0D" w:rsidP="00CB4FD8">
      <w:pPr>
        <w:pStyle w:val="15sp0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B4FD8" w:rsidRPr="00CB4FD8" w:rsidTr="0095541D">
        <w:trPr>
          <w:trHeight w:val="1620"/>
        </w:trPr>
        <w:tc>
          <w:tcPr>
            <w:tcW w:w="8856" w:type="dxa"/>
            <w:tcBorders>
              <w:top w:val="nil"/>
              <w:left w:val="nil"/>
              <w:bottom w:val="nil"/>
              <w:right w:val="nil"/>
            </w:tcBorders>
            <w:shd w:val="clear" w:color="auto" w:fill="auto"/>
          </w:tcPr>
          <w:p w:rsidR="00CB4FD8" w:rsidRPr="00CB4FD8" w:rsidRDefault="00CB4FD8" w:rsidP="0095541D">
            <w:pPr>
              <w:pStyle w:val="Style0"/>
              <w:jc w:val="center"/>
              <w:rPr>
                <w:rFonts w:ascii="Times New Roman" w:hAnsi="Times New Roman"/>
                <w:b/>
                <w:color w:val="000000"/>
                <w:u w:val="single"/>
              </w:rPr>
            </w:pPr>
            <w:r w:rsidRPr="00CB4FD8">
              <w:rPr>
                <w:rFonts w:ascii="Times New Roman" w:hAnsi="Times New Roman"/>
                <w:b/>
                <w:color w:val="000000"/>
                <w:u w:val="single"/>
              </w:rPr>
              <w:t>Moderator</w:t>
            </w:r>
          </w:p>
          <w:p w:rsidR="00446D0D" w:rsidRPr="00CB4FD8" w:rsidRDefault="00446D0D" w:rsidP="00446D0D">
            <w:pPr>
              <w:pStyle w:val="Style0"/>
              <w:jc w:val="center"/>
              <w:rPr>
                <w:rFonts w:ascii="Times New Roman" w:hAnsi="Times New Roman"/>
                <w:color w:val="000000"/>
              </w:rPr>
            </w:pPr>
            <w:r w:rsidRPr="00CB4FD8">
              <w:rPr>
                <w:rFonts w:ascii="Times New Roman" w:hAnsi="Times New Roman"/>
                <w:color w:val="000000"/>
              </w:rPr>
              <w:t>James P. Wagoner</w:t>
            </w:r>
          </w:p>
          <w:p w:rsidR="00446D0D" w:rsidRPr="00CB4FD8" w:rsidRDefault="00446D0D" w:rsidP="00446D0D">
            <w:pPr>
              <w:pStyle w:val="Style0"/>
              <w:jc w:val="center"/>
              <w:rPr>
                <w:rFonts w:ascii="Times New Roman" w:hAnsi="Times New Roman"/>
                <w:color w:val="000000"/>
              </w:rPr>
            </w:pPr>
            <w:r w:rsidRPr="00CB4FD8">
              <w:rPr>
                <w:rFonts w:ascii="Times New Roman" w:hAnsi="Times New Roman"/>
                <w:color w:val="000000"/>
              </w:rPr>
              <w:t>McCormick, Barstow, Sheppard, Wayte &amp; Carruth</w:t>
            </w:r>
          </w:p>
          <w:p w:rsidR="00446D0D" w:rsidRPr="00CB4FD8" w:rsidRDefault="00446D0D" w:rsidP="00446D0D">
            <w:pPr>
              <w:pStyle w:val="Style0"/>
              <w:jc w:val="center"/>
              <w:rPr>
                <w:rFonts w:ascii="Times New Roman" w:hAnsi="Times New Roman"/>
                <w:color w:val="000000"/>
              </w:rPr>
            </w:pPr>
            <w:r w:rsidRPr="00CB4FD8">
              <w:rPr>
                <w:rFonts w:ascii="Times New Roman" w:hAnsi="Times New Roman"/>
                <w:color w:val="000000"/>
              </w:rPr>
              <w:t>7647 N. Fresno Street</w:t>
            </w:r>
          </w:p>
          <w:p w:rsidR="00446D0D" w:rsidRPr="00CB4FD8" w:rsidRDefault="00446D0D" w:rsidP="00446D0D">
            <w:pPr>
              <w:pStyle w:val="Style0"/>
              <w:jc w:val="center"/>
              <w:rPr>
                <w:rFonts w:ascii="Times New Roman" w:hAnsi="Times New Roman"/>
                <w:color w:val="000000"/>
              </w:rPr>
            </w:pPr>
            <w:r w:rsidRPr="00CB4FD8">
              <w:rPr>
                <w:rFonts w:ascii="Times New Roman" w:hAnsi="Times New Roman"/>
                <w:color w:val="000000"/>
              </w:rPr>
              <w:t>Fresno, California 93720</w:t>
            </w:r>
          </w:p>
          <w:p w:rsidR="00446D0D" w:rsidRPr="00CB4FD8" w:rsidRDefault="00446D0D" w:rsidP="00446D0D">
            <w:pPr>
              <w:pStyle w:val="Style0"/>
              <w:jc w:val="center"/>
              <w:rPr>
                <w:rFonts w:ascii="Times New Roman" w:hAnsi="Times New Roman"/>
                <w:color w:val="000000"/>
              </w:rPr>
            </w:pPr>
            <w:r w:rsidRPr="00CB4FD8">
              <w:rPr>
                <w:rFonts w:ascii="Times New Roman" w:hAnsi="Times New Roman"/>
                <w:color w:val="000000"/>
              </w:rPr>
              <w:t>(559) 433-1300  FAX: (559) 433-2300</w:t>
            </w:r>
          </w:p>
          <w:p w:rsidR="00CB4FD8" w:rsidRPr="00CB4FD8" w:rsidRDefault="00446D0D" w:rsidP="00446D0D">
            <w:pPr>
              <w:pStyle w:val="Style0"/>
              <w:jc w:val="center"/>
              <w:rPr>
                <w:rFonts w:ascii="Times New Roman" w:hAnsi="Times New Roman"/>
                <w:b/>
                <w:color w:val="000000"/>
              </w:rPr>
            </w:pPr>
            <w:r w:rsidRPr="00CB4FD8">
              <w:rPr>
                <w:rFonts w:ascii="Times New Roman" w:hAnsi="Times New Roman"/>
                <w:color w:val="000000"/>
              </w:rPr>
              <w:t>E-mail: jim.wagoner@mccormickbarstow.com</w:t>
            </w:r>
          </w:p>
          <w:p w:rsidR="00CB4FD8" w:rsidRPr="00CB4FD8" w:rsidRDefault="00CB4FD8" w:rsidP="0095541D">
            <w:pPr>
              <w:pStyle w:val="Style0"/>
              <w:jc w:val="center"/>
              <w:rPr>
                <w:rFonts w:ascii="Times New Roman" w:hAnsi="Times New Roman"/>
                <w:color w:val="000000"/>
              </w:rPr>
            </w:pPr>
          </w:p>
        </w:tc>
      </w:tr>
      <w:tr w:rsidR="00CB4FD8" w:rsidRPr="00CB4FD8" w:rsidTr="0095541D">
        <w:trPr>
          <w:trHeight w:val="1620"/>
        </w:trPr>
        <w:tc>
          <w:tcPr>
            <w:tcW w:w="8856" w:type="dxa"/>
            <w:tcBorders>
              <w:top w:val="nil"/>
              <w:left w:val="nil"/>
              <w:bottom w:val="nil"/>
              <w:right w:val="nil"/>
            </w:tcBorders>
            <w:shd w:val="clear" w:color="auto" w:fill="auto"/>
          </w:tcPr>
          <w:p w:rsidR="00CB4FD8" w:rsidRPr="00CB4FD8" w:rsidRDefault="00CB4FD8" w:rsidP="0095541D">
            <w:pPr>
              <w:pStyle w:val="Style0"/>
              <w:jc w:val="center"/>
              <w:rPr>
                <w:rFonts w:ascii="Times New Roman" w:hAnsi="Times New Roman"/>
                <w:b/>
                <w:color w:val="000000"/>
                <w:u w:val="single"/>
              </w:rPr>
            </w:pPr>
            <w:r w:rsidRPr="00CB4FD8">
              <w:rPr>
                <w:rFonts w:ascii="Times New Roman" w:hAnsi="Times New Roman"/>
                <w:b/>
                <w:color w:val="000000"/>
                <w:u w:val="single"/>
              </w:rPr>
              <w:t>Panelists</w:t>
            </w:r>
          </w:p>
          <w:p w:rsidR="00CB4FD8" w:rsidRDefault="00CB4FD8" w:rsidP="0095541D">
            <w:pPr>
              <w:pStyle w:val="Style0"/>
              <w:jc w:val="center"/>
              <w:rPr>
                <w:rFonts w:ascii="Times New Roman" w:hAnsi="Times New Roman"/>
                <w:color w:val="000000"/>
                <w:lang w:val="es-MX"/>
              </w:rPr>
            </w:pPr>
            <w:r>
              <w:rPr>
                <w:rFonts w:ascii="Times New Roman" w:hAnsi="Times New Roman"/>
                <w:color w:val="000000"/>
                <w:lang w:val="es-MX"/>
              </w:rPr>
              <w:t>Graham Van Leuven</w:t>
            </w:r>
          </w:p>
          <w:p w:rsidR="00CB4FD8" w:rsidRDefault="00CB4FD8" w:rsidP="0095541D">
            <w:pPr>
              <w:pStyle w:val="Style0"/>
              <w:jc w:val="center"/>
              <w:rPr>
                <w:rFonts w:ascii="Times New Roman" w:hAnsi="Times New Roman"/>
                <w:color w:val="000000"/>
                <w:lang w:val="es-MX"/>
              </w:rPr>
            </w:pPr>
            <w:r>
              <w:rPr>
                <w:rFonts w:ascii="Times New Roman" w:hAnsi="Times New Roman"/>
                <w:color w:val="000000"/>
                <w:lang w:val="es-MX"/>
              </w:rPr>
              <w:t>Clyde &amp; Co.</w:t>
            </w:r>
          </w:p>
          <w:p w:rsidR="00CB4FD8" w:rsidRDefault="00CB4FD8" w:rsidP="0095541D">
            <w:pPr>
              <w:pStyle w:val="Style0"/>
              <w:jc w:val="center"/>
              <w:rPr>
                <w:rFonts w:ascii="Times New Roman" w:hAnsi="Times New Roman"/>
                <w:color w:val="000000"/>
                <w:lang w:val="es-MX"/>
              </w:rPr>
            </w:pPr>
            <w:r>
              <w:rPr>
                <w:rFonts w:ascii="Times New Roman" w:hAnsi="Times New Roman"/>
                <w:color w:val="000000"/>
                <w:lang w:val="es-MX"/>
              </w:rPr>
              <w:t xml:space="preserve">101 </w:t>
            </w:r>
            <w:proofErr w:type="spellStart"/>
            <w:r>
              <w:rPr>
                <w:rFonts w:ascii="Times New Roman" w:hAnsi="Times New Roman"/>
                <w:color w:val="000000"/>
                <w:lang w:val="es-MX"/>
              </w:rPr>
              <w:t>Second</w:t>
            </w:r>
            <w:proofErr w:type="spellEnd"/>
            <w:r>
              <w:rPr>
                <w:rFonts w:ascii="Times New Roman" w:hAnsi="Times New Roman"/>
                <w:color w:val="000000"/>
                <w:lang w:val="es-MX"/>
              </w:rPr>
              <w:t xml:space="preserve"> Street, 24th </w:t>
            </w:r>
            <w:proofErr w:type="spellStart"/>
            <w:r>
              <w:rPr>
                <w:rFonts w:ascii="Times New Roman" w:hAnsi="Times New Roman"/>
                <w:color w:val="000000"/>
                <w:lang w:val="es-MX"/>
              </w:rPr>
              <w:t>Floor</w:t>
            </w:r>
            <w:proofErr w:type="spellEnd"/>
          </w:p>
          <w:p w:rsidR="00CB4FD8" w:rsidRDefault="00CB4FD8" w:rsidP="0095541D">
            <w:pPr>
              <w:pStyle w:val="Style0"/>
              <w:jc w:val="center"/>
              <w:rPr>
                <w:rFonts w:ascii="Times New Roman" w:hAnsi="Times New Roman"/>
                <w:color w:val="000000"/>
                <w:lang w:val="es-MX"/>
              </w:rPr>
            </w:pPr>
            <w:r>
              <w:rPr>
                <w:rFonts w:ascii="Times New Roman" w:hAnsi="Times New Roman"/>
                <w:color w:val="000000"/>
                <w:lang w:val="es-MX"/>
              </w:rPr>
              <w:t>San Francisco, CA  94105</w:t>
            </w:r>
          </w:p>
          <w:p w:rsidR="00CB4FD8" w:rsidRDefault="00CB4FD8" w:rsidP="0095541D">
            <w:pPr>
              <w:pStyle w:val="Style0"/>
              <w:jc w:val="center"/>
              <w:rPr>
                <w:rFonts w:ascii="Times New Roman" w:hAnsi="Times New Roman"/>
                <w:color w:val="000000"/>
                <w:lang w:val="es-MX"/>
              </w:rPr>
            </w:pPr>
            <w:r>
              <w:rPr>
                <w:rFonts w:ascii="Times New Roman" w:hAnsi="Times New Roman"/>
                <w:color w:val="000000"/>
                <w:lang w:val="es-MX"/>
              </w:rPr>
              <w:t>(415) 365-</w:t>
            </w:r>
            <w:proofErr w:type="gramStart"/>
            <w:r>
              <w:rPr>
                <w:rFonts w:ascii="Times New Roman" w:hAnsi="Times New Roman"/>
                <w:color w:val="000000"/>
                <w:lang w:val="es-MX"/>
              </w:rPr>
              <w:t>9800  FAX</w:t>
            </w:r>
            <w:proofErr w:type="gramEnd"/>
            <w:r>
              <w:rPr>
                <w:rFonts w:ascii="Times New Roman" w:hAnsi="Times New Roman"/>
                <w:color w:val="000000"/>
                <w:lang w:val="es-MX"/>
              </w:rPr>
              <w:t>:  (415) 365-9801</w:t>
            </w:r>
          </w:p>
          <w:p w:rsidR="00CB4FD8" w:rsidRPr="00CB4FD8" w:rsidRDefault="00CB4FD8" w:rsidP="0095541D">
            <w:pPr>
              <w:pStyle w:val="Style0"/>
              <w:jc w:val="center"/>
              <w:rPr>
                <w:rFonts w:ascii="Times New Roman" w:hAnsi="Times New Roman"/>
                <w:color w:val="000000"/>
                <w:lang w:val="es-MX"/>
              </w:rPr>
            </w:pPr>
            <w:r>
              <w:rPr>
                <w:rFonts w:ascii="Times New Roman" w:hAnsi="Times New Roman"/>
                <w:color w:val="000000"/>
                <w:lang w:val="es-MX"/>
              </w:rPr>
              <w:t>Graham.VanLeuven@clydeco.us</w:t>
            </w:r>
          </w:p>
          <w:p w:rsidR="00CB4FD8" w:rsidRPr="00CB4FD8" w:rsidRDefault="00CB4FD8" w:rsidP="0095541D">
            <w:pPr>
              <w:pStyle w:val="Style0"/>
              <w:jc w:val="center"/>
              <w:rPr>
                <w:rFonts w:ascii="Times New Roman" w:hAnsi="Times New Roman"/>
                <w:color w:val="000000"/>
                <w:lang w:val="es-MX"/>
              </w:rPr>
            </w:pPr>
          </w:p>
        </w:tc>
      </w:tr>
      <w:tr w:rsidR="00CB4FD8" w:rsidRPr="00CB4FD8" w:rsidTr="0095541D">
        <w:trPr>
          <w:trHeight w:val="1620"/>
        </w:trPr>
        <w:tc>
          <w:tcPr>
            <w:tcW w:w="8856" w:type="dxa"/>
            <w:tcBorders>
              <w:top w:val="nil"/>
              <w:left w:val="nil"/>
              <w:bottom w:val="nil"/>
              <w:right w:val="nil"/>
            </w:tcBorders>
            <w:shd w:val="clear" w:color="auto" w:fill="auto"/>
          </w:tcPr>
          <w:p w:rsidR="00CB4FD8" w:rsidRPr="00CB4FD8" w:rsidRDefault="00CB4FD8" w:rsidP="0095541D">
            <w:pPr>
              <w:pStyle w:val="Style0"/>
              <w:jc w:val="center"/>
              <w:rPr>
                <w:rFonts w:ascii="Times New Roman" w:hAnsi="Times New Roman"/>
                <w:color w:val="000000"/>
              </w:rPr>
            </w:pPr>
          </w:p>
          <w:p w:rsidR="00446D0D" w:rsidRDefault="00446D0D" w:rsidP="00446D0D">
            <w:pPr>
              <w:pStyle w:val="Style0"/>
              <w:jc w:val="center"/>
              <w:rPr>
                <w:rFonts w:ascii="Times New Roman" w:hAnsi="Times New Roman"/>
                <w:color w:val="000000"/>
              </w:rPr>
            </w:pPr>
            <w:r>
              <w:rPr>
                <w:rFonts w:ascii="Times New Roman" w:hAnsi="Times New Roman"/>
                <w:color w:val="000000"/>
              </w:rPr>
              <w:t>Lejf E. Knutson</w:t>
            </w:r>
          </w:p>
          <w:p w:rsidR="00446D0D" w:rsidRPr="00822398" w:rsidRDefault="00446D0D" w:rsidP="00446D0D">
            <w:pPr>
              <w:pStyle w:val="Style0"/>
              <w:jc w:val="center"/>
              <w:rPr>
                <w:rFonts w:ascii="Times New Roman" w:hAnsi="Times New Roman"/>
                <w:color w:val="000000"/>
              </w:rPr>
            </w:pPr>
            <w:r w:rsidRPr="00822398">
              <w:rPr>
                <w:rFonts w:ascii="Times New Roman" w:hAnsi="Times New Roman"/>
                <w:color w:val="000000"/>
              </w:rPr>
              <w:t>McCormick, Barstow, Sheppard, Wayte &amp; Carruth</w:t>
            </w:r>
          </w:p>
          <w:p w:rsidR="00446D0D" w:rsidRPr="00822398" w:rsidRDefault="00446D0D" w:rsidP="00446D0D">
            <w:pPr>
              <w:pStyle w:val="Style0"/>
              <w:jc w:val="center"/>
              <w:rPr>
                <w:rFonts w:ascii="Times New Roman" w:hAnsi="Times New Roman"/>
                <w:color w:val="000000"/>
              </w:rPr>
            </w:pPr>
            <w:r>
              <w:rPr>
                <w:rFonts w:ascii="Times New Roman" w:hAnsi="Times New Roman"/>
                <w:color w:val="000000"/>
              </w:rPr>
              <w:t>7647 N. Fresno Street</w:t>
            </w:r>
          </w:p>
          <w:p w:rsidR="00446D0D" w:rsidRPr="00822398" w:rsidRDefault="00446D0D" w:rsidP="00446D0D">
            <w:pPr>
              <w:pStyle w:val="Style0"/>
              <w:jc w:val="center"/>
              <w:rPr>
                <w:rFonts w:ascii="Times New Roman" w:hAnsi="Times New Roman"/>
                <w:color w:val="000000"/>
              </w:rPr>
            </w:pPr>
            <w:r w:rsidRPr="00822398">
              <w:rPr>
                <w:rFonts w:ascii="Times New Roman" w:hAnsi="Times New Roman"/>
                <w:color w:val="000000"/>
              </w:rPr>
              <w:t>Fresno, California 93720</w:t>
            </w:r>
          </w:p>
          <w:p w:rsidR="00446D0D" w:rsidRPr="00822398" w:rsidRDefault="00446D0D" w:rsidP="00446D0D">
            <w:pPr>
              <w:pStyle w:val="Style0"/>
              <w:jc w:val="center"/>
              <w:rPr>
                <w:rFonts w:ascii="Times New Roman" w:hAnsi="Times New Roman"/>
                <w:color w:val="000000"/>
              </w:rPr>
            </w:pPr>
            <w:r w:rsidRPr="00822398">
              <w:rPr>
                <w:rFonts w:ascii="Times New Roman" w:hAnsi="Times New Roman"/>
                <w:color w:val="000000"/>
              </w:rPr>
              <w:t>(559) 433-1300  FAX: (559) 433-2300</w:t>
            </w:r>
          </w:p>
          <w:p w:rsidR="00CB4FD8" w:rsidRPr="00CB4FD8" w:rsidRDefault="00446D0D" w:rsidP="00446D0D">
            <w:pPr>
              <w:pStyle w:val="Style0"/>
              <w:jc w:val="center"/>
              <w:rPr>
                <w:rFonts w:ascii="Times New Roman" w:hAnsi="Times New Roman"/>
                <w:color w:val="000000"/>
              </w:rPr>
            </w:pPr>
            <w:r>
              <w:rPr>
                <w:rFonts w:ascii="Times New Roman" w:hAnsi="Times New Roman"/>
                <w:color w:val="000000"/>
              </w:rPr>
              <w:t>E-mail: lejf.knutson</w:t>
            </w:r>
            <w:r w:rsidRPr="00822398">
              <w:rPr>
                <w:rFonts w:ascii="Times New Roman" w:hAnsi="Times New Roman"/>
                <w:color w:val="000000"/>
              </w:rPr>
              <w:t>@mccormickbarstow.com</w:t>
            </w:r>
          </w:p>
        </w:tc>
      </w:tr>
      <w:tr w:rsidR="00CB4FD8" w:rsidRPr="00982ABF" w:rsidTr="0095541D">
        <w:trPr>
          <w:trHeight w:val="1620"/>
        </w:trPr>
        <w:tc>
          <w:tcPr>
            <w:tcW w:w="8856" w:type="dxa"/>
            <w:tcBorders>
              <w:top w:val="nil"/>
              <w:left w:val="nil"/>
              <w:bottom w:val="nil"/>
              <w:right w:val="nil"/>
            </w:tcBorders>
            <w:shd w:val="clear" w:color="auto" w:fill="auto"/>
          </w:tcPr>
          <w:p w:rsidR="00CB4FD8" w:rsidRPr="00982ABF" w:rsidRDefault="00CB4FD8" w:rsidP="0095541D">
            <w:pPr>
              <w:pStyle w:val="Style0"/>
              <w:jc w:val="center"/>
              <w:rPr>
                <w:rFonts w:ascii="Times New Roman" w:hAnsi="Times New Roman"/>
                <w:i/>
                <w:color w:val="000000"/>
              </w:rPr>
            </w:pPr>
          </w:p>
        </w:tc>
      </w:tr>
    </w:tbl>
    <w:p w:rsidR="00CB4FD8" w:rsidRDefault="00CB4FD8" w:rsidP="00CB4FD8">
      <w:pPr>
        <w:spacing w:line="480" w:lineRule="auto"/>
        <w:jc w:val="both"/>
        <w:sectPr w:rsidR="00CB4FD8" w:rsidSect="00B24934">
          <w:pgSz w:w="12240" w:h="15840"/>
          <w:pgMar w:top="1440" w:right="1800" w:bottom="1440" w:left="1800" w:header="720" w:footer="720" w:gutter="0"/>
          <w:cols w:space="720"/>
          <w:docGrid w:linePitch="360"/>
        </w:sectPr>
      </w:pPr>
    </w:p>
    <w:p w:rsidR="009D1FE9" w:rsidRPr="00F110B9" w:rsidRDefault="00E579C4" w:rsidP="00F110B9">
      <w:pPr>
        <w:pStyle w:val="Level1"/>
        <w:keepNext w:val="0"/>
        <w:spacing w:after="200" w:line="480" w:lineRule="auto"/>
        <w:jc w:val="both"/>
        <w:rPr>
          <w:rFonts w:ascii="Century" w:hAnsi="Century" w:cs="Times New Roman"/>
          <w:sz w:val="24"/>
          <w:szCs w:val="24"/>
        </w:rPr>
      </w:pPr>
      <w:r w:rsidRPr="00F110B9">
        <w:rPr>
          <w:rFonts w:ascii="Century" w:hAnsi="Century" w:cs="Times New Roman"/>
          <w:sz w:val="24"/>
          <w:szCs w:val="24"/>
        </w:rPr>
        <w:lastRenderedPageBreak/>
        <w:t>Overview</w:t>
      </w:r>
    </w:p>
    <w:p w:rsidR="00E579C4" w:rsidRPr="00F110B9" w:rsidRDefault="00E579C4" w:rsidP="00F110B9">
      <w:pPr>
        <w:pStyle w:val="15sp05"/>
        <w:spacing w:after="200" w:line="480" w:lineRule="auto"/>
        <w:ind w:firstLine="0"/>
        <w:jc w:val="both"/>
        <w:rPr>
          <w:rFonts w:ascii="Century" w:hAnsi="Century" w:cs="Times New Roman"/>
          <w:sz w:val="24"/>
          <w:szCs w:val="24"/>
        </w:rPr>
      </w:pPr>
      <w:r w:rsidRPr="00F110B9">
        <w:rPr>
          <w:rFonts w:ascii="Century" w:hAnsi="Century" w:cs="Times New Roman"/>
          <w:sz w:val="24"/>
          <w:szCs w:val="24"/>
        </w:rPr>
        <w:t>This session will build on public entities' growing knowledge and introduce new concepts and issues for consideration. It explains the general coverages for cyber risks and helps to identify potential gaps in coverage.</w:t>
      </w:r>
      <w:r w:rsidR="00F21126" w:rsidRPr="00F110B9">
        <w:rPr>
          <w:rFonts w:ascii="Century" w:hAnsi="Century" w:cs="Times New Roman"/>
          <w:sz w:val="24"/>
          <w:szCs w:val="24"/>
        </w:rPr>
        <w:t xml:space="preserve"> </w:t>
      </w:r>
      <w:r w:rsidRPr="00F110B9">
        <w:rPr>
          <w:rFonts w:ascii="Century" w:hAnsi="Century" w:cs="Times New Roman"/>
          <w:sz w:val="24"/>
          <w:szCs w:val="24"/>
        </w:rPr>
        <w:t xml:space="preserve">The goal of this session is to help participants </w:t>
      </w:r>
      <w:r w:rsidR="00F21126" w:rsidRPr="00F110B9">
        <w:rPr>
          <w:rFonts w:ascii="Century" w:hAnsi="Century" w:cs="Times New Roman"/>
          <w:sz w:val="24"/>
          <w:szCs w:val="24"/>
        </w:rPr>
        <w:t xml:space="preserve">understand and </w:t>
      </w:r>
      <w:r w:rsidRPr="00F110B9">
        <w:rPr>
          <w:rFonts w:ascii="Century" w:hAnsi="Century" w:cs="Times New Roman"/>
          <w:sz w:val="24"/>
          <w:szCs w:val="24"/>
        </w:rPr>
        <w:t xml:space="preserve">evaluate the </w:t>
      </w:r>
      <w:proofErr w:type="gramStart"/>
      <w:r w:rsidRPr="00F110B9">
        <w:rPr>
          <w:rFonts w:ascii="Century" w:hAnsi="Century" w:cs="Times New Roman"/>
          <w:sz w:val="24"/>
          <w:szCs w:val="24"/>
        </w:rPr>
        <w:t>first and third party</w:t>
      </w:r>
      <w:proofErr w:type="gramEnd"/>
      <w:r w:rsidRPr="00F110B9">
        <w:rPr>
          <w:rFonts w:ascii="Century" w:hAnsi="Century" w:cs="Times New Roman"/>
          <w:sz w:val="24"/>
          <w:szCs w:val="24"/>
        </w:rPr>
        <w:t xml:space="preserve"> coverages available and develop best practices for prevention, management, and defense of cyber related claims.</w:t>
      </w:r>
    </w:p>
    <w:p w:rsidR="00E579C4" w:rsidRPr="00F110B9" w:rsidRDefault="001717BB" w:rsidP="00F110B9">
      <w:pPr>
        <w:pStyle w:val="Level1"/>
        <w:keepNext w:val="0"/>
        <w:spacing w:after="200" w:line="480" w:lineRule="auto"/>
        <w:jc w:val="both"/>
        <w:rPr>
          <w:rFonts w:ascii="Century" w:hAnsi="Century" w:cs="Times New Roman"/>
          <w:sz w:val="24"/>
          <w:szCs w:val="24"/>
        </w:rPr>
      </w:pPr>
      <w:r w:rsidRPr="00F110B9">
        <w:rPr>
          <w:rFonts w:ascii="Century" w:hAnsi="Century" w:cs="Times New Roman"/>
          <w:sz w:val="24"/>
          <w:szCs w:val="24"/>
        </w:rPr>
        <w:t>Assessing</w:t>
      </w:r>
      <w:r w:rsidR="00E579C4" w:rsidRPr="00F110B9">
        <w:rPr>
          <w:rFonts w:ascii="Century" w:hAnsi="Century" w:cs="Times New Roman"/>
          <w:sz w:val="24"/>
          <w:szCs w:val="24"/>
        </w:rPr>
        <w:t xml:space="preserve"> Cyber Vulnerabilities</w:t>
      </w:r>
    </w:p>
    <w:p w:rsidR="00896F45" w:rsidRPr="00F110B9" w:rsidRDefault="00F110B9" w:rsidP="00F110B9">
      <w:pPr>
        <w:pStyle w:val="Level2"/>
        <w:keepNext w:val="0"/>
        <w:spacing w:after="200" w:line="480" w:lineRule="auto"/>
        <w:jc w:val="both"/>
        <w:rPr>
          <w:rFonts w:ascii="Century" w:hAnsi="Century" w:cs="Times New Roman"/>
          <w:sz w:val="24"/>
          <w:szCs w:val="24"/>
        </w:rPr>
      </w:pPr>
      <w:r w:rsidRPr="00F110B9">
        <w:rPr>
          <w:rFonts w:ascii="Century" w:hAnsi="Century" w:cs="Times New Roman"/>
          <w:sz w:val="24"/>
          <w:szCs w:val="24"/>
        </w:rPr>
        <w:t>Types of Risks</w:t>
      </w:r>
    </w:p>
    <w:p w:rsidR="00940861" w:rsidRPr="00F110B9" w:rsidRDefault="00940861" w:rsidP="00F110B9">
      <w:pPr>
        <w:pStyle w:val="Level3"/>
        <w:keepNext w:val="0"/>
        <w:spacing w:after="200" w:line="480" w:lineRule="auto"/>
        <w:jc w:val="both"/>
        <w:rPr>
          <w:rFonts w:ascii="Century" w:hAnsi="Century"/>
          <w:sz w:val="24"/>
          <w:szCs w:val="24"/>
        </w:rPr>
      </w:pPr>
      <w:r w:rsidRPr="00F110B9">
        <w:rPr>
          <w:rFonts w:ascii="Century" w:hAnsi="Century"/>
          <w:sz w:val="24"/>
          <w:szCs w:val="24"/>
        </w:rPr>
        <w:t>Data Breach</w:t>
      </w:r>
    </w:p>
    <w:p w:rsidR="000D188C" w:rsidRPr="00F110B9" w:rsidRDefault="00940861" w:rsidP="00F110B9">
      <w:pPr>
        <w:pStyle w:val="15sp05"/>
        <w:spacing w:after="200" w:line="480" w:lineRule="auto"/>
        <w:ind w:firstLine="0"/>
        <w:jc w:val="both"/>
        <w:rPr>
          <w:rFonts w:ascii="Century" w:hAnsi="Century"/>
          <w:sz w:val="24"/>
          <w:szCs w:val="24"/>
        </w:rPr>
      </w:pPr>
      <w:r w:rsidRPr="00F110B9">
        <w:rPr>
          <w:rFonts w:ascii="Century" w:hAnsi="Century"/>
          <w:sz w:val="24"/>
          <w:szCs w:val="24"/>
        </w:rPr>
        <w:t>As a generic catch-all</w:t>
      </w:r>
      <w:r w:rsidR="00CB4FD8">
        <w:rPr>
          <w:rFonts w:ascii="Century" w:hAnsi="Century"/>
          <w:sz w:val="24"/>
          <w:szCs w:val="24"/>
        </w:rPr>
        <w:t>,</w:t>
      </w:r>
      <w:r w:rsidRPr="00F110B9">
        <w:rPr>
          <w:rFonts w:ascii="Century" w:hAnsi="Century"/>
          <w:sz w:val="24"/>
          <w:szCs w:val="24"/>
        </w:rPr>
        <w:t xml:space="preserve"> a data breach could result from or be paired with any of the below risks. It could be the result of wrongful disclosure, unauthorized disclosure, or </w:t>
      </w:r>
      <w:r w:rsidR="000D188C" w:rsidRPr="00F110B9">
        <w:rPr>
          <w:rFonts w:ascii="Century" w:hAnsi="Century"/>
          <w:sz w:val="24"/>
          <w:szCs w:val="24"/>
        </w:rPr>
        <w:t xml:space="preserve">failure of computer security to prevent </w:t>
      </w:r>
      <w:r w:rsidR="00747EFA" w:rsidRPr="00F110B9">
        <w:rPr>
          <w:rFonts w:ascii="Century" w:hAnsi="Century"/>
          <w:sz w:val="24"/>
          <w:szCs w:val="24"/>
        </w:rPr>
        <w:t>outside access.</w:t>
      </w:r>
    </w:p>
    <w:p w:rsidR="00896F45" w:rsidRPr="00F110B9" w:rsidRDefault="00896F45" w:rsidP="00F110B9">
      <w:pPr>
        <w:pStyle w:val="Level3"/>
        <w:keepNext w:val="0"/>
        <w:spacing w:after="200" w:line="480" w:lineRule="auto"/>
        <w:jc w:val="both"/>
        <w:rPr>
          <w:rFonts w:ascii="Century" w:hAnsi="Century"/>
          <w:sz w:val="24"/>
          <w:szCs w:val="24"/>
        </w:rPr>
      </w:pPr>
      <w:r w:rsidRPr="00F110B9">
        <w:rPr>
          <w:rFonts w:ascii="Century" w:hAnsi="Century"/>
          <w:sz w:val="24"/>
          <w:szCs w:val="24"/>
        </w:rPr>
        <w:t>Phishing</w:t>
      </w:r>
      <w:r w:rsidR="001717BB" w:rsidRPr="00F110B9">
        <w:rPr>
          <w:rFonts w:ascii="Century" w:hAnsi="Century"/>
          <w:sz w:val="24"/>
          <w:szCs w:val="24"/>
        </w:rPr>
        <w:t xml:space="preserve"> / Spear Phishing</w:t>
      </w:r>
    </w:p>
    <w:p w:rsidR="001717BB" w:rsidRPr="007E4CF0" w:rsidRDefault="00F21126" w:rsidP="00F110B9">
      <w:pPr>
        <w:pStyle w:val="10sp0"/>
        <w:spacing w:after="200" w:line="480" w:lineRule="auto"/>
        <w:jc w:val="both"/>
        <w:rPr>
          <w:rFonts w:ascii="Century" w:hAnsi="Century"/>
          <w:sz w:val="24"/>
          <w:szCs w:val="24"/>
        </w:rPr>
      </w:pPr>
      <w:r w:rsidRPr="007E4CF0">
        <w:rPr>
          <w:rFonts w:ascii="Century" w:hAnsi="Century"/>
          <w:sz w:val="24"/>
          <w:szCs w:val="24"/>
        </w:rPr>
        <w:t xml:space="preserve">Targeted attack to gain user credentials or other access to internal network or specific machines. For example, </w:t>
      </w:r>
      <w:r w:rsidR="007C3C15" w:rsidRPr="007E4CF0">
        <w:rPr>
          <w:rFonts w:ascii="Century" w:hAnsi="Century"/>
          <w:sz w:val="24"/>
          <w:szCs w:val="24"/>
        </w:rPr>
        <w:t xml:space="preserve">an </w:t>
      </w:r>
      <w:r w:rsidRPr="007E4CF0">
        <w:rPr>
          <w:rFonts w:ascii="Century" w:hAnsi="Century"/>
          <w:sz w:val="24"/>
          <w:szCs w:val="24"/>
        </w:rPr>
        <w:t xml:space="preserve">email to </w:t>
      </w:r>
      <w:r w:rsidR="007C3C15" w:rsidRPr="007E4CF0">
        <w:rPr>
          <w:rFonts w:ascii="Century" w:hAnsi="Century"/>
          <w:sz w:val="24"/>
          <w:szCs w:val="24"/>
        </w:rPr>
        <w:t xml:space="preserve">an </w:t>
      </w:r>
      <w:r w:rsidRPr="007E4CF0">
        <w:rPr>
          <w:rFonts w:ascii="Century" w:hAnsi="Century"/>
          <w:sz w:val="24"/>
          <w:szCs w:val="24"/>
        </w:rPr>
        <w:t xml:space="preserve">employee saying </w:t>
      </w:r>
      <w:r w:rsidR="007C3C15" w:rsidRPr="007E4CF0">
        <w:rPr>
          <w:rFonts w:ascii="Century" w:hAnsi="Century"/>
          <w:sz w:val="24"/>
          <w:szCs w:val="24"/>
        </w:rPr>
        <w:t xml:space="preserve">that a </w:t>
      </w:r>
      <w:r w:rsidRPr="007E4CF0">
        <w:rPr>
          <w:rFonts w:ascii="Century" w:hAnsi="Century"/>
          <w:sz w:val="24"/>
          <w:szCs w:val="24"/>
        </w:rPr>
        <w:t>password needs to be reset and providing link to enter current credentials to validate before they are reset.</w:t>
      </w:r>
    </w:p>
    <w:p w:rsidR="00F21126" w:rsidRPr="00F110B9" w:rsidRDefault="00F21126" w:rsidP="00F110B9">
      <w:pPr>
        <w:pStyle w:val="Level3"/>
        <w:spacing w:after="200" w:line="480" w:lineRule="auto"/>
        <w:rPr>
          <w:rFonts w:ascii="Century" w:hAnsi="Century"/>
          <w:sz w:val="24"/>
          <w:szCs w:val="24"/>
        </w:rPr>
      </w:pPr>
      <w:r w:rsidRPr="00F110B9">
        <w:rPr>
          <w:rFonts w:ascii="Century" w:hAnsi="Century"/>
          <w:sz w:val="24"/>
          <w:szCs w:val="24"/>
        </w:rPr>
        <w:lastRenderedPageBreak/>
        <w:t>Fraudulent Fund Transfers</w:t>
      </w:r>
    </w:p>
    <w:p w:rsidR="00F21126" w:rsidRPr="007E4CF0" w:rsidRDefault="00F21126" w:rsidP="00F110B9">
      <w:pPr>
        <w:pStyle w:val="20sp0"/>
        <w:spacing w:after="200"/>
        <w:jc w:val="both"/>
        <w:rPr>
          <w:rFonts w:ascii="Century" w:hAnsi="Century"/>
          <w:sz w:val="24"/>
          <w:szCs w:val="24"/>
        </w:rPr>
      </w:pPr>
      <w:r w:rsidRPr="007E4CF0">
        <w:rPr>
          <w:rFonts w:ascii="Century" w:hAnsi="Century"/>
          <w:sz w:val="24"/>
          <w:szCs w:val="24"/>
        </w:rPr>
        <w:t>Fraudulent emails instructing changes in payment details in efforts to misdirect outgoing wire transfers or other payments.</w:t>
      </w:r>
    </w:p>
    <w:p w:rsidR="00896F45" w:rsidRPr="00F110B9" w:rsidRDefault="00896F45" w:rsidP="00F110B9">
      <w:pPr>
        <w:pStyle w:val="Level3"/>
        <w:keepNext w:val="0"/>
        <w:spacing w:after="200" w:line="480" w:lineRule="auto"/>
        <w:jc w:val="both"/>
        <w:rPr>
          <w:rFonts w:ascii="Century" w:hAnsi="Century"/>
          <w:sz w:val="24"/>
          <w:szCs w:val="24"/>
        </w:rPr>
      </w:pPr>
      <w:r w:rsidRPr="00F110B9">
        <w:rPr>
          <w:rFonts w:ascii="Century" w:hAnsi="Century"/>
          <w:sz w:val="24"/>
          <w:szCs w:val="24"/>
        </w:rPr>
        <w:t>Email Compromise</w:t>
      </w:r>
    </w:p>
    <w:p w:rsidR="00940861" w:rsidRPr="00F110B9" w:rsidRDefault="00F21126" w:rsidP="00F110B9">
      <w:pPr>
        <w:pStyle w:val="15sp05"/>
        <w:spacing w:after="200" w:line="480" w:lineRule="auto"/>
        <w:ind w:firstLine="0"/>
        <w:jc w:val="both"/>
        <w:rPr>
          <w:rFonts w:ascii="Century" w:hAnsi="Century"/>
          <w:sz w:val="24"/>
          <w:szCs w:val="24"/>
        </w:rPr>
      </w:pPr>
      <w:r w:rsidRPr="00F110B9">
        <w:rPr>
          <w:rFonts w:ascii="Century" w:hAnsi="Century"/>
          <w:sz w:val="24"/>
          <w:szCs w:val="24"/>
        </w:rPr>
        <w:t>Third party access to/control over a user's email system. Often using rules for Office 365 to cover the attacker's tracks or to reroute emails which would reveal the ruse. This can frequently be coupled with fraudulent fund transfers.</w:t>
      </w:r>
    </w:p>
    <w:p w:rsidR="00896F45" w:rsidRPr="00F110B9" w:rsidRDefault="00896F45" w:rsidP="00F110B9">
      <w:pPr>
        <w:pStyle w:val="Level3"/>
        <w:keepNext w:val="0"/>
        <w:spacing w:after="200" w:line="480" w:lineRule="auto"/>
        <w:jc w:val="both"/>
        <w:rPr>
          <w:rFonts w:ascii="Century" w:hAnsi="Century"/>
          <w:sz w:val="24"/>
          <w:szCs w:val="24"/>
        </w:rPr>
      </w:pPr>
      <w:r w:rsidRPr="00F110B9">
        <w:rPr>
          <w:rFonts w:ascii="Century" w:hAnsi="Century"/>
          <w:sz w:val="24"/>
          <w:szCs w:val="24"/>
        </w:rPr>
        <w:t>Ransomware</w:t>
      </w:r>
    </w:p>
    <w:p w:rsidR="00940861" w:rsidRPr="00F110B9" w:rsidRDefault="00F21126" w:rsidP="00F110B9">
      <w:pPr>
        <w:pStyle w:val="15sp05"/>
        <w:spacing w:after="200" w:line="480" w:lineRule="auto"/>
        <w:ind w:firstLine="0"/>
        <w:jc w:val="both"/>
        <w:rPr>
          <w:rFonts w:ascii="Century" w:hAnsi="Century"/>
          <w:sz w:val="24"/>
          <w:szCs w:val="24"/>
        </w:rPr>
      </w:pPr>
      <w:r w:rsidRPr="00F110B9">
        <w:rPr>
          <w:rFonts w:ascii="Century" w:hAnsi="Century"/>
          <w:sz w:val="24"/>
          <w:szCs w:val="24"/>
        </w:rPr>
        <w:t xml:space="preserve">Encryption of system data and demand for ransom payment in Bitcoin or other cryptocurrency </w:t>
      </w:r>
      <w:r w:rsidR="004A78AA" w:rsidRPr="00F110B9">
        <w:rPr>
          <w:rFonts w:ascii="Century" w:hAnsi="Century"/>
          <w:sz w:val="24"/>
          <w:szCs w:val="24"/>
        </w:rPr>
        <w:t>to restore access. Frequently based on a short timeline demand for payment.</w:t>
      </w:r>
    </w:p>
    <w:p w:rsidR="001717BB" w:rsidRPr="00F110B9" w:rsidRDefault="00896F45" w:rsidP="00F110B9">
      <w:pPr>
        <w:pStyle w:val="Level3"/>
        <w:keepNext w:val="0"/>
        <w:spacing w:after="200" w:line="480" w:lineRule="auto"/>
        <w:jc w:val="both"/>
        <w:rPr>
          <w:rFonts w:ascii="Century" w:hAnsi="Century"/>
          <w:sz w:val="24"/>
          <w:szCs w:val="24"/>
        </w:rPr>
      </w:pPr>
      <w:r w:rsidRPr="00F110B9">
        <w:rPr>
          <w:rFonts w:ascii="Century" w:hAnsi="Century"/>
          <w:sz w:val="24"/>
          <w:szCs w:val="24"/>
        </w:rPr>
        <w:t>Employee Misconduct</w:t>
      </w:r>
    </w:p>
    <w:p w:rsidR="00940861" w:rsidRPr="007E4CF0" w:rsidRDefault="004A78AA" w:rsidP="00F110B9">
      <w:pPr>
        <w:pStyle w:val="15sp05"/>
        <w:spacing w:after="200" w:line="480" w:lineRule="auto"/>
        <w:ind w:firstLine="0"/>
        <w:jc w:val="both"/>
        <w:rPr>
          <w:rFonts w:ascii="Century" w:hAnsi="Century"/>
          <w:sz w:val="24"/>
          <w:szCs w:val="24"/>
        </w:rPr>
      </w:pPr>
      <w:r w:rsidRPr="007E4CF0">
        <w:rPr>
          <w:rFonts w:ascii="Century" w:hAnsi="Century"/>
          <w:sz w:val="24"/>
          <w:szCs w:val="24"/>
        </w:rPr>
        <w:t>Current employee use of organization</w:t>
      </w:r>
      <w:r w:rsidR="00F110B9" w:rsidRPr="007E4CF0">
        <w:rPr>
          <w:rFonts w:ascii="Century" w:hAnsi="Century"/>
          <w:sz w:val="24"/>
          <w:szCs w:val="24"/>
        </w:rPr>
        <w:t xml:space="preserve"> resources for misconduct or former/departing employees abusing network </w:t>
      </w:r>
      <w:r w:rsidR="007C3C15" w:rsidRPr="007E4CF0">
        <w:rPr>
          <w:rFonts w:ascii="Century" w:hAnsi="Century"/>
          <w:sz w:val="24"/>
          <w:szCs w:val="24"/>
        </w:rPr>
        <w:t xml:space="preserve">by </w:t>
      </w:r>
      <w:r w:rsidR="00F110B9" w:rsidRPr="007E4CF0">
        <w:rPr>
          <w:rFonts w:ascii="Century" w:hAnsi="Century"/>
          <w:sz w:val="24"/>
          <w:szCs w:val="24"/>
        </w:rPr>
        <w:t>using un-withdrawn credentials.</w:t>
      </w:r>
    </w:p>
    <w:p w:rsidR="00F21126" w:rsidRPr="00F110B9" w:rsidRDefault="00F21126" w:rsidP="00F110B9">
      <w:pPr>
        <w:pStyle w:val="Level3"/>
        <w:keepNext w:val="0"/>
        <w:spacing w:after="200" w:line="480" w:lineRule="auto"/>
        <w:jc w:val="both"/>
        <w:rPr>
          <w:rFonts w:ascii="Century" w:hAnsi="Century"/>
          <w:sz w:val="24"/>
          <w:szCs w:val="24"/>
        </w:rPr>
      </w:pPr>
      <w:r w:rsidRPr="00F110B9">
        <w:rPr>
          <w:rFonts w:ascii="Century" w:hAnsi="Century"/>
          <w:sz w:val="24"/>
          <w:szCs w:val="24"/>
        </w:rPr>
        <w:t>DDOS Attacks</w:t>
      </w:r>
    </w:p>
    <w:p w:rsidR="00F21126" w:rsidRPr="00F110B9" w:rsidRDefault="00F21126" w:rsidP="00F110B9">
      <w:pPr>
        <w:pStyle w:val="15sp05"/>
        <w:spacing w:after="200" w:line="480" w:lineRule="auto"/>
        <w:ind w:firstLine="0"/>
        <w:jc w:val="both"/>
        <w:rPr>
          <w:rFonts w:ascii="Century" w:hAnsi="Century"/>
          <w:sz w:val="24"/>
          <w:szCs w:val="24"/>
        </w:rPr>
      </w:pPr>
      <w:r w:rsidRPr="00F110B9">
        <w:rPr>
          <w:rFonts w:ascii="Century" w:hAnsi="Century"/>
          <w:sz w:val="24"/>
          <w:szCs w:val="24"/>
        </w:rPr>
        <w:t>Distributed denial of service attacks where an entity's network is overloaded by outside requests, thereby preventing other users from accessing network or internal use of the network based on insufficient resources.</w:t>
      </w:r>
    </w:p>
    <w:p w:rsidR="00896F45" w:rsidRPr="00F110B9" w:rsidRDefault="00747EFA" w:rsidP="00F110B9">
      <w:pPr>
        <w:pStyle w:val="Level3"/>
        <w:keepNext w:val="0"/>
        <w:spacing w:after="200" w:line="480" w:lineRule="auto"/>
        <w:jc w:val="both"/>
        <w:rPr>
          <w:rFonts w:ascii="Century" w:hAnsi="Century"/>
          <w:sz w:val="24"/>
          <w:szCs w:val="24"/>
        </w:rPr>
      </w:pPr>
      <w:r w:rsidRPr="00F110B9">
        <w:rPr>
          <w:rFonts w:ascii="Century" w:hAnsi="Century"/>
          <w:sz w:val="24"/>
          <w:szCs w:val="24"/>
        </w:rPr>
        <w:t>Lost Devices</w:t>
      </w:r>
    </w:p>
    <w:p w:rsidR="00940861" w:rsidRPr="00F110B9" w:rsidRDefault="00747EFA" w:rsidP="007C3C15">
      <w:pPr>
        <w:pStyle w:val="15sp05"/>
        <w:spacing w:after="200" w:line="480" w:lineRule="auto"/>
        <w:ind w:firstLine="0"/>
        <w:jc w:val="both"/>
        <w:rPr>
          <w:rFonts w:ascii="Century" w:hAnsi="Century"/>
          <w:sz w:val="24"/>
          <w:szCs w:val="24"/>
        </w:rPr>
      </w:pPr>
      <w:r w:rsidRPr="00F110B9">
        <w:rPr>
          <w:rFonts w:ascii="Century" w:hAnsi="Century"/>
          <w:sz w:val="24"/>
          <w:szCs w:val="24"/>
        </w:rPr>
        <w:lastRenderedPageBreak/>
        <w:t xml:space="preserve">Lost laptops, cell phones, or other electronic devices </w:t>
      </w:r>
      <w:r w:rsidR="00F110B9" w:rsidRPr="00F110B9">
        <w:rPr>
          <w:rFonts w:ascii="Century" w:hAnsi="Century"/>
          <w:sz w:val="24"/>
          <w:szCs w:val="24"/>
        </w:rPr>
        <w:t>which contain confidential information or tokens for access to organization network.</w:t>
      </w:r>
    </w:p>
    <w:p w:rsidR="009157EB" w:rsidRDefault="009157EB" w:rsidP="009157EB">
      <w:pPr>
        <w:pStyle w:val="Level1"/>
        <w:keepNext w:val="0"/>
        <w:spacing w:after="200" w:line="480" w:lineRule="auto"/>
        <w:jc w:val="both"/>
        <w:rPr>
          <w:rFonts w:ascii="Century" w:hAnsi="Century" w:cs="Times New Roman"/>
          <w:sz w:val="24"/>
          <w:szCs w:val="24"/>
        </w:rPr>
      </w:pPr>
      <w:r>
        <w:rPr>
          <w:rFonts w:ascii="Century" w:hAnsi="Century" w:cs="Times New Roman"/>
          <w:sz w:val="24"/>
          <w:szCs w:val="24"/>
        </w:rPr>
        <w:t xml:space="preserve">Liability Issues </w:t>
      </w:r>
      <w:proofErr w:type="gramStart"/>
      <w:r>
        <w:rPr>
          <w:rFonts w:ascii="Century" w:hAnsi="Century" w:cs="Times New Roman"/>
          <w:sz w:val="24"/>
          <w:szCs w:val="24"/>
        </w:rPr>
        <w:t>With</w:t>
      </w:r>
      <w:proofErr w:type="gramEnd"/>
      <w:r>
        <w:rPr>
          <w:rFonts w:ascii="Century" w:hAnsi="Century" w:cs="Times New Roman"/>
          <w:sz w:val="24"/>
          <w:szCs w:val="24"/>
        </w:rPr>
        <w:t xml:space="preserve"> Respect To Public Entities And Cyber R</w:t>
      </w:r>
      <w:r w:rsidRPr="009157EB">
        <w:rPr>
          <w:rFonts w:ascii="Century" w:hAnsi="Century" w:cs="Times New Roman"/>
          <w:sz w:val="24"/>
          <w:szCs w:val="24"/>
        </w:rPr>
        <w:t>isks</w:t>
      </w:r>
      <w:bookmarkStart w:id="1" w:name="_Toc409700261"/>
    </w:p>
    <w:p w:rsidR="009157EB" w:rsidRPr="009157EB" w:rsidRDefault="009157EB" w:rsidP="009157EB">
      <w:pPr>
        <w:pStyle w:val="Level2"/>
        <w:rPr>
          <w:rFonts w:ascii="Century" w:hAnsi="Century" w:cs="Times New Roman"/>
          <w:sz w:val="24"/>
          <w:szCs w:val="24"/>
        </w:rPr>
      </w:pPr>
      <w:r w:rsidRPr="009157EB">
        <w:rPr>
          <w:rFonts w:ascii="Century" w:hAnsi="Century"/>
          <w:sz w:val="24"/>
          <w:szCs w:val="24"/>
        </w:rPr>
        <w:t>Potential Liability Under California’s Information Practices Act</w:t>
      </w:r>
    </w:p>
    <w:p w:rsidR="009157EB" w:rsidRDefault="009157EB" w:rsidP="009157EB">
      <w:pPr>
        <w:pStyle w:val="15sp05"/>
        <w:rPr>
          <w:rFonts w:asciiTheme="minorHAnsi" w:eastAsiaTheme="minorHAnsi" w:hAnsiTheme="minorHAnsi" w:cstheme="minorBidi"/>
          <w:szCs w:val="22"/>
        </w:rPr>
      </w:pPr>
    </w:p>
    <w:p w:rsidR="009157EB" w:rsidRPr="007E4CF0" w:rsidRDefault="009157EB" w:rsidP="00D117C9">
      <w:pPr>
        <w:pStyle w:val="15sp05"/>
        <w:spacing w:after="200" w:line="480" w:lineRule="auto"/>
        <w:ind w:firstLine="0"/>
        <w:jc w:val="both"/>
        <w:rPr>
          <w:rFonts w:ascii="Century" w:hAnsi="Century"/>
          <w:sz w:val="24"/>
          <w:szCs w:val="24"/>
        </w:rPr>
      </w:pPr>
      <w:r w:rsidRPr="007E4CF0">
        <w:rPr>
          <w:rFonts w:ascii="Century" w:hAnsi="Century"/>
          <w:sz w:val="24"/>
          <w:szCs w:val="24"/>
        </w:rPr>
        <w:t>Section 1798.82 of the California Civil Code requires a person or entity conducting business in California that owns, licenses or maintains “personal information” and suffers a breach of that information to notify the owner of the information, any third parties for whom they maintained that information, and in some cases the California Attorney General.</w:t>
      </w:r>
      <w:r w:rsidRPr="007E4CF0">
        <w:rPr>
          <w:rStyle w:val="FootnoteReference"/>
          <w:rFonts w:ascii="Century" w:hAnsi="Century"/>
          <w:sz w:val="24"/>
          <w:szCs w:val="24"/>
        </w:rPr>
        <w:footnoteReference w:id="2"/>
      </w:r>
      <w:r w:rsidRPr="007E4CF0">
        <w:rPr>
          <w:rFonts w:ascii="Century" w:hAnsi="Century"/>
          <w:sz w:val="24"/>
          <w:szCs w:val="24"/>
        </w:rPr>
        <w:t xml:space="preserve"> </w:t>
      </w:r>
    </w:p>
    <w:p w:rsidR="009157EB" w:rsidRPr="009157EB" w:rsidRDefault="009157EB" w:rsidP="009157EB">
      <w:pPr>
        <w:pStyle w:val="15sp05"/>
        <w:ind w:firstLine="0"/>
        <w:jc w:val="both"/>
        <w:rPr>
          <w:rFonts w:ascii="Century" w:hAnsi="Century"/>
          <w:b/>
          <w:sz w:val="24"/>
          <w:szCs w:val="24"/>
        </w:rPr>
      </w:pPr>
    </w:p>
    <w:p w:rsidR="009157EB" w:rsidRPr="007E4CF0" w:rsidRDefault="009157EB" w:rsidP="00D117C9">
      <w:pPr>
        <w:pStyle w:val="15sp05"/>
        <w:spacing w:after="200" w:line="480" w:lineRule="auto"/>
        <w:ind w:firstLine="0"/>
        <w:jc w:val="both"/>
        <w:rPr>
          <w:rFonts w:ascii="Century" w:hAnsi="Century"/>
          <w:sz w:val="24"/>
          <w:szCs w:val="24"/>
        </w:rPr>
      </w:pPr>
      <w:r w:rsidRPr="007E4CF0">
        <w:rPr>
          <w:rFonts w:ascii="Century" w:hAnsi="Century"/>
          <w:sz w:val="24"/>
          <w:szCs w:val="24"/>
        </w:rPr>
        <w:t>The term “personal information” is defined to include “any information that identifies, relates to, describes, or is capable of being associated with, a particular individual” although it does not include information available to the general public from federal, state or local records.</w:t>
      </w:r>
      <w:r w:rsidRPr="007E4CF0">
        <w:rPr>
          <w:rStyle w:val="FootnoteReference"/>
          <w:rFonts w:ascii="Century" w:hAnsi="Century"/>
          <w:sz w:val="24"/>
          <w:szCs w:val="24"/>
        </w:rPr>
        <w:footnoteReference w:id="3"/>
      </w:r>
    </w:p>
    <w:p w:rsidR="009157EB" w:rsidRPr="007E4CF0" w:rsidRDefault="009157EB" w:rsidP="00D117C9">
      <w:pPr>
        <w:pStyle w:val="15sp05"/>
        <w:spacing w:after="200" w:line="480" w:lineRule="auto"/>
        <w:ind w:firstLine="0"/>
        <w:jc w:val="both"/>
        <w:rPr>
          <w:rFonts w:ascii="Century" w:hAnsi="Century"/>
          <w:sz w:val="24"/>
          <w:szCs w:val="24"/>
        </w:rPr>
      </w:pPr>
      <w:r w:rsidRPr="007E4CF0">
        <w:rPr>
          <w:rFonts w:ascii="Century" w:hAnsi="Century"/>
          <w:sz w:val="24"/>
          <w:szCs w:val="24"/>
        </w:rPr>
        <w:t>Breach of these statutory notice requirements can result in a private cause of action by an affected person/consumer to impose injunctive relief and recover damages as well as civil penalties for “willful, intentional, or reckless” violations of the Act.</w:t>
      </w:r>
      <w:r w:rsidRPr="007E4CF0">
        <w:rPr>
          <w:rStyle w:val="FootnoteReference"/>
          <w:rFonts w:ascii="Century" w:hAnsi="Century"/>
          <w:sz w:val="24"/>
          <w:szCs w:val="24"/>
        </w:rPr>
        <w:footnoteReference w:id="4"/>
      </w:r>
    </w:p>
    <w:p w:rsidR="009157EB" w:rsidRPr="007E4CF0" w:rsidRDefault="009157EB" w:rsidP="00D117C9">
      <w:pPr>
        <w:pStyle w:val="15sp05"/>
        <w:spacing w:after="200" w:line="480" w:lineRule="auto"/>
        <w:ind w:firstLine="0"/>
        <w:jc w:val="both"/>
        <w:rPr>
          <w:rFonts w:ascii="Century" w:hAnsi="Century"/>
          <w:sz w:val="24"/>
          <w:szCs w:val="24"/>
        </w:rPr>
      </w:pPr>
      <w:r w:rsidRPr="007E4CF0">
        <w:rPr>
          <w:rFonts w:ascii="Century" w:hAnsi="Century"/>
          <w:sz w:val="24"/>
          <w:szCs w:val="24"/>
        </w:rPr>
        <w:t xml:space="preserve">With respect to public entities, one federal district court has held that the Information Practices Act is applicable only to state agencies and not local agencies.  </w:t>
      </w:r>
      <w:r w:rsidRPr="007E4CF0">
        <w:rPr>
          <w:rFonts w:ascii="Century" w:hAnsi="Century"/>
          <w:i/>
          <w:sz w:val="24"/>
          <w:szCs w:val="24"/>
        </w:rPr>
        <w:t xml:space="preserve">See Clark v. </w:t>
      </w:r>
      <w:proofErr w:type="spellStart"/>
      <w:r w:rsidRPr="007E4CF0">
        <w:rPr>
          <w:rFonts w:ascii="Century" w:hAnsi="Century"/>
          <w:i/>
          <w:sz w:val="24"/>
          <w:szCs w:val="24"/>
        </w:rPr>
        <w:t>Cty</w:t>
      </w:r>
      <w:proofErr w:type="spellEnd"/>
      <w:r w:rsidRPr="007E4CF0">
        <w:rPr>
          <w:rFonts w:ascii="Century" w:hAnsi="Century"/>
          <w:i/>
          <w:sz w:val="24"/>
          <w:szCs w:val="24"/>
        </w:rPr>
        <w:t xml:space="preserve">. of Tulare, </w:t>
      </w:r>
      <w:r w:rsidRPr="007E4CF0">
        <w:rPr>
          <w:rFonts w:ascii="Century" w:hAnsi="Century"/>
          <w:sz w:val="24"/>
          <w:szCs w:val="24"/>
        </w:rPr>
        <w:t>755 F.Supp.2d 1075, 1096 (</w:t>
      </w:r>
      <w:proofErr w:type="spellStart"/>
      <w:r w:rsidRPr="007E4CF0">
        <w:rPr>
          <w:rFonts w:ascii="Century" w:hAnsi="Century"/>
          <w:sz w:val="24"/>
          <w:szCs w:val="24"/>
        </w:rPr>
        <w:t>E.D.Cal</w:t>
      </w:r>
      <w:proofErr w:type="spellEnd"/>
      <w:r w:rsidRPr="007E4CF0">
        <w:rPr>
          <w:rFonts w:ascii="Century" w:hAnsi="Century"/>
          <w:sz w:val="24"/>
          <w:szCs w:val="24"/>
        </w:rPr>
        <w:t xml:space="preserve">. 2010) (“The Information Practices Act is limited to ‘state’ agencies. The Information Practices Act defines the term “agency” as ‘every state office, officer, department, division, bureau, board, commission, or other state agency’ and does not include any ‘local </w:t>
      </w:r>
      <w:r w:rsidRPr="007E4CF0">
        <w:rPr>
          <w:rFonts w:ascii="Century" w:hAnsi="Century"/>
          <w:sz w:val="24"/>
          <w:szCs w:val="24"/>
        </w:rPr>
        <w:lastRenderedPageBreak/>
        <w:t xml:space="preserve">agency.’ </w:t>
      </w:r>
      <w:proofErr w:type="spellStart"/>
      <w:r w:rsidRPr="007E4CF0">
        <w:rPr>
          <w:rFonts w:ascii="Century" w:hAnsi="Century"/>
          <w:sz w:val="24"/>
          <w:szCs w:val="24"/>
        </w:rPr>
        <w:t>Cal.Civ.Code</w:t>
      </w:r>
      <w:proofErr w:type="spellEnd"/>
      <w:r w:rsidRPr="007E4CF0">
        <w:rPr>
          <w:rFonts w:ascii="Century" w:hAnsi="Century"/>
          <w:sz w:val="24"/>
          <w:szCs w:val="24"/>
        </w:rPr>
        <w:t xml:space="preserve"> § 1798.3(b). Therefore, the County cannot be liable under this section.”)</w:t>
      </w:r>
    </w:p>
    <w:p w:rsidR="009157EB" w:rsidRPr="007E4CF0" w:rsidRDefault="009157EB" w:rsidP="00D117C9">
      <w:pPr>
        <w:pStyle w:val="15sp05"/>
        <w:spacing w:after="200" w:line="480" w:lineRule="auto"/>
        <w:ind w:firstLine="0"/>
        <w:jc w:val="both"/>
        <w:rPr>
          <w:rFonts w:ascii="Century" w:hAnsi="Century"/>
          <w:sz w:val="24"/>
          <w:szCs w:val="24"/>
        </w:rPr>
      </w:pPr>
      <w:r w:rsidRPr="007E4CF0">
        <w:rPr>
          <w:rFonts w:ascii="Century" w:hAnsi="Century"/>
          <w:sz w:val="24"/>
          <w:szCs w:val="24"/>
        </w:rPr>
        <w:t xml:space="preserve">The same federal district court held that a county sheriff was not liable for failing to satisfy the reporting requirement of the Act based on the lack of evidence that the sheriff, in his official capacity, was responsible for maintaining the computerized system involved in the breach.  </w:t>
      </w:r>
      <w:r w:rsidRPr="007E4CF0">
        <w:rPr>
          <w:rFonts w:ascii="Century" w:hAnsi="Century"/>
          <w:i/>
          <w:sz w:val="24"/>
          <w:szCs w:val="24"/>
        </w:rPr>
        <w:t>Id.</w:t>
      </w:r>
      <w:r w:rsidRPr="007E4CF0">
        <w:rPr>
          <w:rFonts w:ascii="Century" w:hAnsi="Century"/>
          <w:sz w:val="24"/>
          <w:szCs w:val="24"/>
        </w:rPr>
        <w:t xml:space="preserve">  </w:t>
      </w:r>
    </w:p>
    <w:p w:rsidR="009157EB" w:rsidRDefault="009157EB" w:rsidP="00AB2871">
      <w:pPr>
        <w:pStyle w:val="Level2"/>
        <w:spacing w:line="240" w:lineRule="auto"/>
        <w:rPr>
          <w:rFonts w:ascii="Century" w:hAnsi="Century"/>
          <w:sz w:val="24"/>
          <w:szCs w:val="24"/>
        </w:rPr>
      </w:pPr>
      <w:r w:rsidRPr="009157EB">
        <w:rPr>
          <w:rFonts w:ascii="Century" w:hAnsi="Century"/>
          <w:sz w:val="24"/>
          <w:szCs w:val="24"/>
        </w:rPr>
        <w:t xml:space="preserve">Potential Employer Immunity </w:t>
      </w:r>
      <w:proofErr w:type="gramStart"/>
      <w:r w:rsidRPr="009157EB">
        <w:rPr>
          <w:rFonts w:ascii="Century" w:hAnsi="Century"/>
          <w:sz w:val="24"/>
          <w:szCs w:val="24"/>
        </w:rPr>
        <w:t>For</w:t>
      </w:r>
      <w:proofErr w:type="gramEnd"/>
      <w:r w:rsidRPr="009157EB">
        <w:rPr>
          <w:rFonts w:ascii="Century" w:hAnsi="Century"/>
          <w:sz w:val="24"/>
          <w:szCs w:val="24"/>
        </w:rPr>
        <w:t xml:space="preserve"> Improper Cyber-Behavior Of Employees</w:t>
      </w:r>
      <w:bookmarkEnd w:id="1"/>
    </w:p>
    <w:p w:rsidR="00AB2871" w:rsidRPr="00AB2871" w:rsidRDefault="00AB2871" w:rsidP="00AB2871">
      <w:pPr>
        <w:pStyle w:val="15sp05"/>
      </w:pPr>
    </w:p>
    <w:p w:rsidR="009157EB" w:rsidRPr="007E4CF0" w:rsidRDefault="009157EB" w:rsidP="00AB2871">
      <w:pPr>
        <w:pStyle w:val="20sp05"/>
        <w:widowControl w:val="0"/>
        <w:spacing w:after="240"/>
        <w:ind w:firstLine="0"/>
        <w:jc w:val="both"/>
        <w:rPr>
          <w:rFonts w:ascii="Century" w:hAnsi="Century"/>
          <w:sz w:val="24"/>
          <w:szCs w:val="24"/>
        </w:rPr>
      </w:pPr>
      <w:r w:rsidRPr="007E4CF0">
        <w:rPr>
          <w:rFonts w:ascii="Century" w:hAnsi="Century"/>
          <w:sz w:val="24"/>
          <w:szCs w:val="24"/>
        </w:rPr>
        <w:t xml:space="preserve">The Communications Decency Act (“CDA”) was enacted in 1996 with the goal of controlling the exposure of minors to indecent material over the Internet.  An important purpose of the CDA was to encourage internet service providers to self-regulate the dissemination of offensive material over their services. However, a second objective was to avoid the chilling effect upon internet free speech that would be occasioned by the imposition of tort liability upon companies that do not create potentially harmful </w:t>
      </w:r>
      <w:proofErr w:type="gramStart"/>
      <w:r w:rsidRPr="007E4CF0">
        <w:rPr>
          <w:rFonts w:ascii="Century" w:hAnsi="Century"/>
          <w:sz w:val="24"/>
          <w:szCs w:val="24"/>
        </w:rPr>
        <w:t>messages, but</w:t>
      </w:r>
      <w:proofErr w:type="gramEnd"/>
      <w:r w:rsidRPr="007E4CF0">
        <w:rPr>
          <w:rFonts w:ascii="Century" w:hAnsi="Century"/>
          <w:sz w:val="24"/>
          <w:szCs w:val="24"/>
        </w:rPr>
        <w:t xml:space="preserve"> are simply intermediaries for their delivery.  </w:t>
      </w:r>
      <w:proofErr w:type="spellStart"/>
      <w:r w:rsidRPr="007E4CF0">
        <w:rPr>
          <w:rFonts w:ascii="Century" w:hAnsi="Century"/>
          <w:i/>
          <w:sz w:val="24"/>
          <w:szCs w:val="24"/>
        </w:rPr>
        <w:t>Aeran</w:t>
      </w:r>
      <w:proofErr w:type="spellEnd"/>
      <w:r w:rsidRPr="007E4CF0">
        <w:rPr>
          <w:rFonts w:ascii="Century" w:hAnsi="Century"/>
          <w:i/>
          <w:sz w:val="24"/>
          <w:szCs w:val="24"/>
        </w:rPr>
        <w:t xml:space="preserve"> v. America Online, Inc</w:t>
      </w:r>
      <w:r w:rsidRPr="007E4CF0">
        <w:rPr>
          <w:rFonts w:ascii="Century" w:hAnsi="Century"/>
          <w:sz w:val="24"/>
          <w:szCs w:val="24"/>
        </w:rPr>
        <w:t>., 129 F.3d 327, 331 (4th Cir. 1997).</w:t>
      </w:r>
    </w:p>
    <w:p w:rsidR="009157EB" w:rsidRPr="00AB2871" w:rsidRDefault="009157EB" w:rsidP="00AB2871">
      <w:pPr>
        <w:pStyle w:val="20sp05"/>
        <w:widowControl w:val="0"/>
        <w:spacing w:after="240"/>
        <w:ind w:firstLine="0"/>
        <w:jc w:val="both"/>
        <w:rPr>
          <w:rFonts w:ascii="Century" w:hAnsi="Century"/>
          <w:b/>
          <w:sz w:val="24"/>
          <w:szCs w:val="24"/>
        </w:rPr>
      </w:pPr>
      <w:r w:rsidRPr="007E4CF0">
        <w:rPr>
          <w:rFonts w:ascii="Century" w:hAnsi="Century"/>
          <w:sz w:val="24"/>
          <w:szCs w:val="24"/>
        </w:rPr>
        <w:t xml:space="preserve">It has been held that an employer that provides its employees with Internet access through the company's internal computer system is among the class of parties potentially immune under the CDA. </w:t>
      </w:r>
      <w:r w:rsidRPr="007E4CF0">
        <w:rPr>
          <w:rFonts w:ascii="Century" w:hAnsi="Century"/>
          <w:i/>
          <w:sz w:val="24"/>
          <w:szCs w:val="24"/>
        </w:rPr>
        <w:t>See, e.g</w:t>
      </w:r>
      <w:r w:rsidRPr="007E4CF0">
        <w:rPr>
          <w:rFonts w:ascii="Century" w:hAnsi="Century"/>
          <w:sz w:val="24"/>
          <w:szCs w:val="24"/>
        </w:rPr>
        <w:t xml:space="preserve">., </w:t>
      </w:r>
      <w:proofErr w:type="spellStart"/>
      <w:r w:rsidRPr="007E4CF0">
        <w:rPr>
          <w:rFonts w:ascii="Century" w:hAnsi="Century"/>
          <w:i/>
          <w:sz w:val="24"/>
          <w:szCs w:val="24"/>
        </w:rPr>
        <w:t>Delfino</w:t>
      </w:r>
      <w:proofErr w:type="spellEnd"/>
      <w:r w:rsidRPr="007E4CF0">
        <w:rPr>
          <w:rFonts w:ascii="Century" w:hAnsi="Century"/>
          <w:i/>
          <w:sz w:val="24"/>
          <w:szCs w:val="24"/>
        </w:rPr>
        <w:t xml:space="preserve"> v. Agilent Technologies, Inc</w:t>
      </w:r>
      <w:r w:rsidRPr="007E4CF0">
        <w:rPr>
          <w:rFonts w:ascii="Century" w:hAnsi="Century"/>
          <w:sz w:val="24"/>
          <w:szCs w:val="24"/>
        </w:rPr>
        <w:t xml:space="preserve">., 145 Cal.App.4th 790, 805 (2006) (internet threats transmitted by employee from computer supplied by employer were “information provided by another information content provider” within meaning of CDA immunity provision); </w:t>
      </w:r>
      <w:r w:rsidRPr="007E4CF0">
        <w:rPr>
          <w:rFonts w:ascii="Century" w:hAnsi="Century"/>
          <w:i/>
          <w:sz w:val="24"/>
          <w:szCs w:val="24"/>
        </w:rPr>
        <w:t xml:space="preserve">Kathleen R. v. City </w:t>
      </w:r>
      <w:r w:rsidRPr="007E4CF0">
        <w:rPr>
          <w:rFonts w:ascii="Century" w:hAnsi="Century"/>
          <w:i/>
          <w:sz w:val="24"/>
          <w:szCs w:val="24"/>
        </w:rPr>
        <w:lastRenderedPageBreak/>
        <w:t>of Livermore</w:t>
      </w:r>
      <w:r w:rsidRPr="007E4CF0">
        <w:rPr>
          <w:rFonts w:ascii="Century" w:hAnsi="Century"/>
          <w:sz w:val="24"/>
          <w:szCs w:val="24"/>
        </w:rPr>
        <w:t>,  87 Cal.App.4th 684, 692–693 (2001) (rejecting contention that library was not immune under CDA for child’s downloading of sexually explicit material on city library computers because of its governmental entity status).</w:t>
      </w:r>
      <w:r w:rsidRPr="00AB2871">
        <w:rPr>
          <w:rFonts w:ascii="Century" w:hAnsi="Century"/>
          <w:b/>
          <w:sz w:val="24"/>
          <w:szCs w:val="24"/>
        </w:rPr>
        <w:t xml:space="preserve">   </w:t>
      </w:r>
    </w:p>
    <w:p w:rsidR="00E579C4" w:rsidRPr="00F110B9" w:rsidRDefault="001717BB" w:rsidP="007C3C15">
      <w:pPr>
        <w:pStyle w:val="Level1"/>
        <w:keepNext w:val="0"/>
        <w:spacing w:after="200" w:line="480" w:lineRule="auto"/>
        <w:jc w:val="both"/>
        <w:rPr>
          <w:rFonts w:ascii="Century" w:hAnsi="Century" w:cs="Times New Roman"/>
          <w:sz w:val="24"/>
          <w:szCs w:val="24"/>
        </w:rPr>
      </w:pPr>
      <w:r w:rsidRPr="00F110B9">
        <w:rPr>
          <w:rFonts w:ascii="Century" w:hAnsi="Century" w:cs="Times New Roman"/>
          <w:sz w:val="24"/>
          <w:szCs w:val="24"/>
        </w:rPr>
        <w:t>Coverage Pitfalls</w:t>
      </w:r>
    </w:p>
    <w:p w:rsidR="001717BB" w:rsidRPr="00F110B9" w:rsidRDefault="00F110B9" w:rsidP="007C3C15">
      <w:pPr>
        <w:pStyle w:val="Level2"/>
        <w:keepNext w:val="0"/>
        <w:spacing w:after="200" w:line="480" w:lineRule="auto"/>
        <w:jc w:val="both"/>
        <w:rPr>
          <w:rFonts w:ascii="Century" w:hAnsi="Century" w:cs="Times New Roman"/>
          <w:sz w:val="24"/>
          <w:szCs w:val="24"/>
        </w:rPr>
      </w:pPr>
      <w:r w:rsidRPr="00F110B9">
        <w:rPr>
          <w:rFonts w:ascii="Century" w:hAnsi="Century" w:cs="Times New Roman"/>
          <w:sz w:val="24"/>
          <w:szCs w:val="24"/>
        </w:rPr>
        <w:t>Development of Cyber Coverages</w:t>
      </w:r>
    </w:p>
    <w:p w:rsidR="00F110B9" w:rsidRPr="007E4CF0" w:rsidRDefault="00F110B9" w:rsidP="007C3C15">
      <w:pPr>
        <w:pStyle w:val="15sp05"/>
        <w:spacing w:after="200" w:line="480" w:lineRule="auto"/>
        <w:ind w:firstLine="0"/>
        <w:jc w:val="both"/>
        <w:rPr>
          <w:rFonts w:ascii="Century" w:hAnsi="Century"/>
          <w:sz w:val="24"/>
          <w:szCs w:val="24"/>
        </w:rPr>
      </w:pPr>
      <w:r w:rsidRPr="007E4CF0">
        <w:rPr>
          <w:rFonts w:ascii="Century" w:hAnsi="Century"/>
          <w:sz w:val="24"/>
          <w:szCs w:val="24"/>
        </w:rPr>
        <w:t xml:space="preserve">Cyber coverage evolved from the financial lines side of </w:t>
      </w:r>
      <w:r w:rsidR="007C3C15" w:rsidRPr="007E4CF0">
        <w:rPr>
          <w:rFonts w:ascii="Century" w:hAnsi="Century"/>
          <w:sz w:val="24"/>
          <w:szCs w:val="24"/>
        </w:rPr>
        <w:t xml:space="preserve">the </w:t>
      </w:r>
      <w:r w:rsidRPr="007E4CF0">
        <w:rPr>
          <w:rFonts w:ascii="Century" w:hAnsi="Century"/>
          <w:sz w:val="24"/>
          <w:szCs w:val="24"/>
        </w:rPr>
        <w:t>insurance</w:t>
      </w:r>
      <w:r w:rsidR="007C3C15" w:rsidRPr="007E4CF0">
        <w:rPr>
          <w:rFonts w:ascii="Century" w:hAnsi="Century"/>
          <w:sz w:val="24"/>
          <w:szCs w:val="24"/>
        </w:rPr>
        <w:t xml:space="preserve"> market</w:t>
      </w:r>
      <w:r w:rsidRPr="007E4CF0">
        <w:rPr>
          <w:rFonts w:ascii="Century" w:hAnsi="Century"/>
          <w:sz w:val="24"/>
          <w:szCs w:val="24"/>
        </w:rPr>
        <w:t>, generally under E&amp;O policies, until it developed into its own specialized coverage.</w:t>
      </w:r>
    </w:p>
    <w:p w:rsidR="00F110B9" w:rsidRPr="007E4CF0" w:rsidRDefault="00F110B9" w:rsidP="007C3C15">
      <w:pPr>
        <w:pStyle w:val="15sp05"/>
        <w:spacing w:after="200" w:line="480" w:lineRule="auto"/>
        <w:ind w:firstLine="0"/>
        <w:jc w:val="both"/>
        <w:rPr>
          <w:rFonts w:ascii="Century" w:hAnsi="Century"/>
          <w:sz w:val="24"/>
          <w:szCs w:val="24"/>
        </w:rPr>
      </w:pPr>
      <w:r w:rsidRPr="007E4CF0">
        <w:rPr>
          <w:rFonts w:ascii="Century" w:hAnsi="Century"/>
          <w:sz w:val="24"/>
          <w:szCs w:val="24"/>
        </w:rPr>
        <w:t xml:space="preserve">Simultaneously, </w:t>
      </w:r>
      <w:r w:rsidR="007C3C15" w:rsidRPr="007E4CF0">
        <w:rPr>
          <w:rFonts w:ascii="Century" w:hAnsi="Century"/>
          <w:sz w:val="24"/>
          <w:szCs w:val="24"/>
        </w:rPr>
        <w:t xml:space="preserve">insurers on </w:t>
      </w:r>
      <w:r w:rsidRPr="007E4CF0">
        <w:rPr>
          <w:rFonts w:ascii="Century" w:hAnsi="Century"/>
          <w:sz w:val="24"/>
          <w:szCs w:val="24"/>
        </w:rPr>
        <w:t xml:space="preserve">the </w:t>
      </w:r>
      <w:r w:rsidR="007C3C15" w:rsidRPr="007E4CF0">
        <w:rPr>
          <w:rFonts w:ascii="Century" w:hAnsi="Century"/>
          <w:sz w:val="24"/>
          <w:szCs w:val="24"/>
        </w:rPr>
        <w:t xml:space="preserve">casualty </w:t>
      </w:r>
      <w:r w:rsidRPr="007E4CF0">
        <w:rPr>
          <w:rFonts w:ascii="Century" w:hAnsi="Century"/>
          <w:sz w:val="24"/>
          <w:szCs w:val="24"/>
        </w:rPr>
        <w:t xml:space="preserve">side of </w:t>
      </w:r>
      <w:r w:rsidR="007C3C15" w:rsidRPr="007E4CF0">
        <w:rPr>
          <w:rFonts w:ascii="Century" w:hAnsi="Century"/>
          <w:sz w:val="24"/>
          <w:szCs w:val="24"/>
        </w:rPr>
        <w:t>the insurance market</w:t>
      </w:r>
      <w:r w:rsidRPr="007E4CF0">
        <w:rPr>
          <w:rFonts w:ascii="Century" w:hAnsi="Century"/>
          <w:sz w:val="24"/>
          <w:szCs w:val="24"/>
        </w:rPr>
        <w:t xml:space="preserve">, including </w:t>
      </w:r>
      <w:r w:rsidR="007C3C15" w:rsidRPr="007E4CF0">
        <w:rPr>
          <w:rFonts w:ascii="Century" w:hAnsi="Century"/>
          <w:sz w:val="24"/>
          <w:szCs w:val="24"/>
        </w:rPr>
        <w:t xml:space="preserve">insurers issuing </w:t>
      </w:r>
      <w:r w:rsidRPr="007E4CF0">
        <w:rPr>
          <w:rFonts w:ascii="Century" w:hAnsi="Century"/>
          <w:sz w:val="24"/>
          <w:szCs w:val="24"/>
        </w:rPr>
        <w:t xml:space="preserve">GL policies, </w:t>
      </w:r>
      <w:r w:rsidR="007C3C15" w:rsidRPr="007E4CF0">
        <w:rPr>
          <w:rFonts w:ascii="Century" w:hAnsi="Century"/>
          <w:sz w:val="24"/>
          <w:szCs w:val="24"/>
        </w:rPr>
        <w:t>have</w:t>
      </w:r>
      <w:r w:rsidRPr="007E4CF0">
        <w:rPr>
          <w:rFonts w:ascii="Century" w:hAnsi="Century"/>
          <w:sz w:val="24"/>
          <w:szCs w:val="24"/>
        </w:rPr>
        <w:t xml:space="preserve"> tried to eliminate cyber coverages from their forms. There are still remnant "silent cyber" coverages, which insurers are trying to eliminate as they arise.</w:t>
      </w:r>
    </w:p>
    <w:p w:rsidR="00EF5465" w:rsidRPr="007E4CF0" w:rsidRDefault="00F110B9" w:rsidP="007C3C15">
      <w:pPr>
        <w:pStyle w:val="15sp05"/>
        <w:spacing w:after="200" w:line="480" w:lineRule="auto"/>
        <w:ind w:firstLine="0"/>
        <w:jc w:val="both"/>
        <w:rPr>
          <w:rFonts w:ascii="Century" w:hAnsi="Century"/>
          <w:sz w:val="24"/>
          <w:szCs w:val="24"/>
        </w:rPr>
      </w:pPr>
      <w:r w:rsidRPr="007E4CF0">
        <w:rPr>
          <w:rFonts w:ascii="Century" w:hAnsi="Century"/>
          <w:sz w:val="24"/>
          <w:szCs w:val="24"/>
        </w:rPr>
        <w:t xml:space="preserve">For example, </w:t>
      </w:r>
      <w:r w:rsidR="005847EC" w:rsidRPr="007E4CF0">
        <w:rPr>
          <w:rFonts w:ascii="Century" w:hAnsi="Century"/>
          <w:sz w:val="24"/>
          <w:szCs w:val="24"/>
        </w:rPr>
        <w:t>in 2001, ISO introduced policy language in the “property damage” definition indicating that “electronic data is not tangible property”.  (ISO Form No. CG 00011001).  Also, i</w:t>
      </w:r>
      <w:r w:rsidRPr="007E4CF0">
        <w:rPr>
          <w:rFonts w:ascii="Century" w:hAnsi="Century"/>
          <w:sz w:val="24"/>
          <w:szCs w:val="24"/>
        </w:rPr>
        <w:t xml:space="preserve">n </w:t>
      </w:r>
      <w:r w:rsidR="007C67E3" w:rsidRPr="007E4CF0">
        <w:rPr>
          <w:rFonts w:ascii="Century" w:hAnsi="Century"/>
          <w:sz w:val="24"/>
          <w:szCs w:val="24"/>
        </w:rPr>
        <w:t xml:space="preserve">2014, ISO introduced </w:t>
      </w:r>
      <w:r w:rsidR="00B41CE8" w:rsidRPr="007E4CF0">
        <w:rPr>
          <w:rFonts w:ascii="Century" w:hAnsi="Century"/>
          <w:sz w:val="24"/>
          <w:szCs w:val="24"/>
        </w:rPr>
        <w:t xml:space="preserve">endorsements excluding coverage </w:t>
      </w:r>
      <w:r w:rsidR="005847EC" w:rsidRPr="007E4CF0">
        <w:rPr>
          <w:rFonts w:ascii="Century" w:hAnsi="Century"/>
          <w:sz w:val="24"/>
          <w:szCs w:val="24"/>
        </w:rPr>
        <w:t xml:space="preserve">for “[d]amages arising out of loss of, loss of use of, damage to, corruption of, inability to access, or inability to manipulate electronic data” </w:t>
      </w:r>
      <w:r w:rsidR="00B41CE8" w:rsidRPr="007E4CF0">
        <w:rPr>
          <w:rFonts w:ascii="Century" w:hAnsi="Century"/>
          <w:sz w:val="24"/>
          <w:szCs w:val="24"/>
        </w:rPr>
        <w:t>with a limited exception for bodily injury.</w:t>
      </w:r>
      <w:r w:rsidR="005847EC" w:rsidRPr="007E4CF0">
        <w:rPr>
          <w:rFonts w:ascii="Century" w:hAnsi="Century"/>
          <w:sz w:val="24"/>
          <w:szCs w:val="24"/>
        </w:rPr>
        <w:t xml:space="preserve"> (ISO Form No. CG 00011204).  </w:t>
      </w:r>
    </w:p>
    <w:p w:rsidR="00AB2871" w:rsidRPr="009D4D68" w:rsidRDefault="009D4D68" w:rsidP="009D4D68">
      <w:pPr>
        <w:pStyle w:val="Level2"/>
        <w:keepNext w:val="0"/>
        <w:spacing w:after="200" w:line="240" w:lineRule="auto"/>
        <w:jc w:val="both"/>
        <w:rPr>
          <w:rFonts w:ascii="Century" w:hAnsi="Century" w:cs="Times New Roman"/>
          <w:sz w:val="24"/>
          <w:szCs w:val="24"/>
        </w:rPr>
      </w:pPr>
      <w:r w:rsidRPr="009D4D68">
        <w:rPr>
          <w:rFonts w:ascii="Century" w:hAnsi="Century" w:cs="Times New Roman"/>
          <w:sz w:val="24"/>
          <w:szCs w:val="24"/>
        </w:rPr>
        <w:t xml:space="preserve">Coverage Issues Relating </w:t>
      </w:r>
      <w:proofErr w:type="gramStart"/>
      <w:r w:rsidRPr="009D4D68">
        <w:rPr>
          <w:rFonts w:ascii="Century" w:hAnsi="Century" w:cs="Times New Roman"/>
          <w:sz w:val="24"/>
          <w:szCs w:val="24"/>
        </w:rPr>
        <w:t>To</w:t>
      </w:r>
      <w:proofErr w:type="gramEnd"/>
      <w:r w:rsidRPr="009D4D68">
        <w:rPr>
          <w:rFonts w:ascii="Century" w:hAnsi="Century" w:cs="Times New Roman"/>
          <w:sz w:val="24"/>
          <w:szCs w:val="24"/>
        </w:rPr>
        <w:t xml:space="preserve"> Cyber Liability Risks Under Standardized, Non-Cyber Liability Forms</w:t>
      </w:r>
    </w:p>
    <w:p w:rsidR="009D4D68" w:rsidRDefault="009D4D68" w:rsidP="009D4D68">
      <w:pPr>
        <w:pStyle w:val="Level3"/>
        <w:spacing w:line="240" w:lineRule="auto"/>
        <w:rPr>
          <w:rFonts w:ascii="Century" w:hAnsi="Century"/>
          <w:sz w:val="24"/>
          <w:szCs w:val="24"/>
        </w:rPr>
      </w:pPr>
      <w:bookmarkStart w:id="2" w:name="_Ref441222991"/>
      <w:r w:rsidRPr="009D4D68">
        <w:rPr>
          <w:rFonts w:ascii="Century" w:hAnsi="Century"/>
          <w:sz w:val="24"/>
          <w:szCs w:val="24"/>
        </w:rPr>
        <w:t xml:space="preserve">Issues Re: “Property Damage” Coverage </w:t>
      </w:r>
      <w:proofErr w:type="gramStart"/>
      <w:r w:rsidRPr="009D4D68">
        <w:rPr>
          <w:rFonts w:ascii="Century" w:hAnsi="Century"/>
          <w:sz w:val="24"/>
          <w:szCs w:val="24"/>
        </w:rPr>
        <w:t>For</w:t>
      </w:r>
      <w:proofErr w:type="gramEnd"/>
      <w:r w:rsidRPr="009D4D68">
        <w:rPr>
          <w:rFonts w:ascii="Century" w:hAnsi="Century"/>
          <w:sz w:val="24"/>
          <w:szCs w:val="24"/>
        </w:rPr>
        <w:t xml:space="preserve"> Cyber Risks Under Standard Forms</w:t>
      </w:r>
      <w:bookmarkEnd w:id="2"/>
    </w:p>
    <w:p w:rsidR="009D4D68" w:rsidRDefault="009D4D68" w:rsidP="009D4D68">
      <w:pPr>
        <w:pStyle w:val="15sp05"/>
      </w:pPr>
    </w:p>
    <w:p w:rsidR="009D4D68" w:rsidRPr="007E4CF0" w:rsidRDefault="009D4D68" w:rsidP="00D117C9">
      <w:pPr>
        <w:spacing w:after="240" w:line="480" w:lineRule="auto"/>
        <w:jc w:val="both"/>
        <w:rPr>
          <w:rFonts w:ascii="Century" w:hAnsi="Century"/>
          <w:sz w:val="24"/>
          <w:szCs w:val="24"/>
        </w:rPr>
      </w:pPr>
      <w:r w:rsidRPr="007E4CF0">
        <w:rPr>
          <w:rFonts w:ascii="Century" w:hAnsi="Century"/>
          <w:sz w:val="24"/>
          <w:szCs w:val="24"/>
        </w:rPr>
        <w:lastRenderedPageBreak/>
        <w:t xml:space="preserve">“Property damage” coverage under standardized </w:t>
      </w:r>
      <w:proofErr w:type="gramStart"/>
      <w:r w:rsidRPr="007E4CF0">
        <w:rPr>
          <w:rFonts w:ascii="Century" w:hAnsi="Century"/>
          <w:sz w:val="24"/>
          <w:szCs w:val="24"/>
        </w:rPr>
        <w:t>third party</w:t>
      </w:r>
      <w:proofErr w:type="gramEnd"/>
      <w:r w:rsidRPr="007E4CF0">
        <w:rPr>
          <w:rFonts w:ascii="Century" w:hAnsi="Century"/>
          <w:sz w:val="24"/>
          <w:szCs w:val="24"/>
        </w:rPr>
        <w:t xml:space="preserve"> liability forms is written to provide coverage for injury to tangible property and “loss of use” of tangible property.</w:t>
      </w:r>
      <w:r w:rsidRPr="007E4CF0">
        <w:rPr>
          <w:rStyle w:val="FootnoteReference"/>
          <w:rFonts w:ascii="Century" w:hAnsi="Century"/>
          <w:sz w:val="24"/>
          <w:szCs w:val="24"/>
        </w:rPr>
        <w:footnoteReference w:id="5"/>
      </w:r>
      <w:r w:rsidRPr="007E4CF0">
        <w:rPr>
          <w:rFonts w:ascii="Century" w:hAnsi="Century"/>
          <w:sz w:val="24"/>
          <w:szCs w:val="24"/>
        </w:rPr>
        <w:t xml:space="preserve">  This emphasis on “tangible property” has caused an a split of authority on whether loss of electronic data from computer systems could constitute covered “property damage”:</w:t>
      </w:r>
    </w:p>
    <w:p w:rsidR="009D4D68" w:rsidRPr="007E4CF0" w:rsidRDefault="009D4D68" w:rsidP="009D4D68">
      <w:pPr>
        <w:numPr>
          <w:ilvl w:val="0"/>
          <w:numId w:val="19"/>
        </w:numPr>
        <w:spacing w:after="0" w:line="480" w:lineRule="auto"/>
        <w:jc w:val="both"/>
        <w:rPr>
          <w:rFonts w:ascii="Century" w:hAnsi="Century"/>
          <w:sz w:val="24"/>
          <w:szCs w:val="24"/>
        </w:rPr>
      </w:pPr>
      <w:r w:rsidRPr="007E4CF0">
        <w:rPr>
          <w:rFonts w:ascii="Century" w:hAnsi="Century"/>
          <w:i/>
          <w:sz w:val="24"/>
          <w:szCs w:val="24"/>
        </w:rPr>
        <w:t xml:space="preserve">Am. Online, Inc. v. St. Paul Mercury Ins. Co., </w:t>
      </w:r>
      <w:r w:rsidRPr="007E4CF0">
        <w:rPr>
          <w:rFonts w:ascii="Century" w:hAnsi="Century"/>
          <w:sz w:val="24"/>
          <w:szCs w:val="24"/>
        </w:rPr>
        <w:t>207 F. Supp. 2d 459, 467 (</w:t>
      </w:r>
      <w:proofErr w:type="spellStart"/>
      <w:r w:rsidRPr="007E4CF0">
        <w:rPr>
          <w:rFonts w:ascii="Century" w:hAnsi="Century"/>
          <w:sz w:val="24"/>
          <w:szCs w:val="24"/>
        </w:rPr>
        <w:t>E.D.Va</w:t>
      </w:r>
      <w:proofErr w:type="spellEnd"/>
      <w:r w:rsidRPr="007E4CF0">
        <w:rPr>
          <w:rFonts w:ascii="Century" w:hAnsi="Century"/>
          <w:sz w:val="24"/>
          <w:szCs w:val="24"/>
        </w:rPr>
        <w:t>. 2002) aff'd, 347 F.3d 89 (4th Cir. 2003) (“Computer data, software, and systems do not have or possess physical form and are therefore not tangible property as understood by the Policy”);</w:t>
      </w:r>
    </w:p>
    <w:p w:rsidR="009D4D68" w:rsidRPr="007E4CF0" w:rsidRDefault="009D4D68" w:rsidP="009D4D68">
      <w:pPr>
        <w:numPr>
          <w:ilvl w:val="0"/>
          <w:numId w:val="19"/>
        </w:numPr>
        <w:spacing w:after="0" w:line="480" w:lineRule="auto"/>
        <w:jc w:val="both"/>
        <w:rPr>
          <w:rFonts w:ascii="Century" w:hAnsi="Century"/>
          <w:sz w:val="24"/>
          <w:szCs w:val="24"/>
        </w:rPr>
      </w:pPr>
      <w:r w:rsidRPr="007E4CF0">
        <w:rPr>
          <w:rFonts w:ascii="Century" w:hAnsi="Century"/>
          <w:i/>
          <w:sz w:val="24"/>
          <w:szCs w:val="24"/>
        </w:rPr>
        <w:t xml:space="preserve">State Auto Prop. &amp; Cas. Ins. Co. v. Midwest Computers &amp; More, </w:t>
      </w:r>
      <w:r w:rsidRPr="007E4CF0">
        <w:rPr>
          <w:rFonts w:ascii="Century" w:hAnsi="Century"/>
          <w:sz w:val="24"/>
          <w:szCs w:val="24"/>
        </w:rPr>
        <w:t>147 F. Supp. 2d 1113, 1116 (</w:t>
      </w:r>
      <w:proofErr w:type="spellStart"/>
      <w:r w:rsidRPr="007E4CF0">
        <w:rPr>
          <w:rFonts w:ascii="Century" w:hAnsi="Century"/>
          <w:sz w:val="24"/>
          <w:szCs w:val="24"/>
        </w:rPr>
        <w:t>W.D.Okla</w:t>
      </w:r>
      <w:proofErr w:type="spellEnd"/>
      <w:r w:rsidRPr="007E4CF0">
        <w:rPr>
          <w:rFonts w:ascii="Century" w:hAnsi="Century"/>
          <w:sz w:val="24"/>
          <w:szCs w:val="24"/>
        </w:rPr>
        <w:t>. 2001) (“Although the medium that holds the information can be perceived, identified or valued, the information itself cannot be. Alone, computer data cannot be touched, held, or sensed by the human mind; it has no physical substance. It is not tangible property.”);</w:t>
      </w:r>
    </w:p>
    <w:p w:rsidR="009D4D68" w:rsidRPr="007E4CF0" w:rsidRDefault="009D4D68" w:rsidP="00D117C9">
      <w:pPr>
        <w:numPr>
          <w:ilvl w:val="0"/>
          <w:numId w:val="19"/>
        </w:numPr>
        <w:spacing w:after="240" w:line="480" w:lineRule="auto"/>
        <w:jc w:val="both"/>
        <w:rPr>
          <w:rFonts w:ascii="Century" w:hAnsi="Century"/>
          <w:sz w:val="24"/>
          <w:szCs w:val="24"/>
        </w:rPr>
      </w:pPr>
      <w:r w:rsidRPr="007E4CF0">
        <w:rPr>
          <w:rFonts w:ascii="Century" w:hAnsi="Century"/>
          <w:i/>
          <w:sz w:val="24"/>
          <w:szCs w:val="24"/>
        </w:rPr>
        <w:t xml:space="preserve">Computer Corner, Inc. v. Fireman's Fund Ins. Co., </w:t>
      </w:r>
      <w:r w:rsidRPr="007E4CF0">
        <w:rPr>
          <w:rFonts w:ascii="Century" w:hAnsi="Century"/>
          <w:sz w:val="24"/>
          <w:szCs w:val="24"/>
        </w:rPr>
        <w:t>132 N.M. 264, 266, 46 P.3d 1264, 1266 (2002) (noting that “the district court found that the computer data in question ‘was physical, had an actual physical location, occupied space and was capable of being physically damaged and destroyed.’ The district court concluded ‘computer data is tangible property.’”);</w:t>
      </w:r>
    </w:p>
    <w:p w:rsidR="009D4D68" w:rsidRPr="007E4CF0" w:rsidRDefault="009D4D68" w:rsidP="00D117C9">
      <w:pPr>
        <w:numPr>
          <w:ilvl w:val="0"/>
          <w:numId w:val="19"/>
        </w:numPr>
        <w:spacing w:after="240" w:line="480" w:lineRule="auto"/>
        <w:jc w:val="both"/>
        <w:rPr>
          <w:rFonts w:ascii="Century" w:hAnsi="Century"/>
          <w:sz w:val="24"/>
          <w:szCs w:val="24"/>
        </w:rPr>
      </w:pPr>
      <w:r w:rsidRPr="007E4CF0">
        <w:rPr>
          <w:rFonts w:ascii="Century" w:hAnsi="Century"/>
          <w:i/>
          <w:sz w:val="24"/>
          <w:szCs w:val="24"/>
        </w:rPr>
        <w:lastRenderedPageBreak/>
        <w:t xml:space="preserve">Am. Guarantee &amp; </w:t>
      </w:r>
      <w:proofErr w:type="spellStart"/>
      <w:r w:rsidRPr="007E4CF0">
        <w:rPr>
          <w:rFonts w:ascii="Century" w:hAnsi="Century"/>
          <w:i/>
          <w:sz w:val="24"/>
          <w:szCs w:val="24"/>
        </w:rPr>
        <w:t>Liab</w:t>
      </w:r>
      <w:proofErr w:type="spellEnd"/>
      <w:r w:rsidRPr="007E4CF0">
        <w:rPr>
          <w:rFonts w:ascii="Century" w:hAnsi="Century"/>
          <w:i/>
          <w:sz w:val="24"/>
          <w:szCs w:val="24"/>
        </w:rPr>
        <w:t>. Ins. Co. v. Ingram Micro, Inc</w:t>
      </w:r>
      <w:r w:rsidRPr="007E4CF0">
        <w:rPr>
          <w:rFonts w:ascii="Century" w:hAnsi="Century"/>
          <w:sz w:val="24"/>
          <w:szCs w:val="24"/>
        </w:rPr>
        <w:t>., 2000 WL 726789, at *3 (</w:t>
      </w:r>
      <w:proofErr w:type="spellStart"/>
      <w:r w:rsidRPr="007E4CF0">
        <w:rPr>
          <w:rFonts w:ascii="Century" w:hAnsi="Century"/>
          <w:sz w:val="24"/>
          <w:szCs w:val="24"/>
        </w:rPr>
        <w:t>D.Ariz</w:t>
      </w:r>
      <w:proofErr w:type="spellEnd"/>
      <w:r w:rsidRPr="007E4CF0">
        <w:rPr>
          <w:rFonts w:ascii="Century" w:hAnsi="Century"/>
          <w:sz w:val="24"/>
          <w:szCs w:val="24"/>
        </w:rPr>
        <w:t xml:space="preserve">. 2000) (“In this case, Ingram </w:t>
      </w:r>
      <w:r w:rsidRPr="007E4CF0">
        <w:rPr>
          <w:rFonts w:ascii="Century" w:hAnsi="Century"/>
          <w:i/>
          <w:sz w:val="24"/>
          <w:szCs w:val="24"/>
        </w:rPr>
        <w:t>doe</w:t>
      </w:r>
      <w:r w:rsidRPr="007E4CF0">
        <w:rPr>
          <w:rFonts w:ascii="Century" w:hAnsi="Century"/>
          <w:sz w:val="24"/>
          <w:szCs w:val="24"/>
        </w:rPr>
        <w:t xml:space="preserve">s allege property damage-that as a result of the power outage, Ingram's computer system and world-wide computer network physically lost the programming information and custom configurations necessary for them to function. Ingram's mainframes were ‘physically damaged’ for </w:t>
      </w:r>
      <w:proofErr w:type="gramStart"/>
      <w:r w:rsidRPr="007E4CF0">
        <w:rPr>
          <w:rFonts w:ascii="Century" w:hAnsi="Century"/>
          <w:sz w:val="24"/>
          <w:szCs w:val="24"/>
        </w:rPr>
        <w:t>one and one half</w:t>
      </w:r>
      <w:proofErr w:type="gramEnd"/>
      <w:r w:rsidRPr="007E4CF0">
        <w:rPr>
          <w:rFonts w:ascii="Century" w:hAnsi="Century"/>
          <w:sz w:val="24"/>
          <w:szCs w:val="24"/>
        </w:rPr>
        <w:t xml:space="preserve"> hours.  It wasn't until Ingram employees manually reloaded the lost programming information that the mainframes were ‘repaired.’  Impulse was ‘physically damaged’ for eight hours. Ingram employees ‘repaired’ Impulse by physically bypassing a malfunctioning matrix switch. Until this restorative work was conducted, Ingram's mainframes and Impulse were inoperable.”) (emphasis in original);</w:t>
      </w:r>
    </w:p>
    <w:p w:rsidR="009D4D68" w:rsidRPr="007E4CF0" w:rsidRDefault="009D4D68" w:rsidP="00D117C9">
      <w:pPr>
        <w:numPr>
          <w:ilvl w:val="0"/>
          <w:numId w:val="19"/>
        </w:numPr>
        <w:spacing w:after="240" w:line="480" w:lineRule="auto"/>
        <w:jc w:val="both"/>
        <w:rPr>
          <w:rFonts w:ascii="Century" w:hAnsi="Century"/>
          <w:sz w:val="24"/>
          <w:szCs w:val="24"/>
        </w:rPr>
      </w:pPr>
      <w:r w:rsidRPr="007E4CF0">
        <w:rPr>
          <w:rFonts w:ascii="Century" w:hAnsi="Century"/>
          <w:sz w:val="24"/>
          <w:szCs w:val="24"/>
        </w:rPr>
        <w:t xml:space="preserve"> </w:t>
      </w:r>
      <w:proofErr w:type="spellStart"/>
      <w:r w:rsidRPr="007E4CF0">
        <w:rPr>
          <w:rFonts w:ascii="Century" w:hAnsi="Century"/>
          <w:i/>
          <w:sz w:val="24"/>
          <w:szCs w:val="24"/>
        </w:rPr>
        <w:t>Eyeblaster</w:t>
      </w:r>
      <w:proofErr w:type="spellEnd"/>
      <w:r w:rsidRPr="007E4CF0">
        <w:rPr>
          <w:rFonts w:ascii="Century" w:hAnsi="Century"/>
          <w:i/>
          <w:sz w:val="24"/>
          <w:szCs w:val="24"/>
        </w:rPr>
        <w:t>, Inc. v. Fed. Ins. Co</w:t>
      </w:r>
      <w:r w:rsidRPr="007E4CF0">
        <w:rPr>
          <w:rFonts w:ascii="Century" w:hAnsi="Century"/>
          <w:sz w:val="24"/>
          <w:szCs w:val="24"/>
        </w:rPr>
        <w:t>., 613 F.3d 797, 802 (8th Cir. 2010) (“loss of use” property damage coverage applied to computer system rendered unusable by spyware).</w:t>
      </w:r>
    </w:p>
    <w:p w:rsidR="009D4D68" w:rsidRDefault="009D4D68" w:rsidP="009D4D68">
      <w:pPr>
        <w:pStyle w:val="Level3"/>
        <w:spacing w:line="240" w:lineRule="auto"/>
        <w:rPr>
          <w:rFonts w:ascii="Century" w:hAnsi="Century"/>
          <w:sz w:val="24"/>
          <w:szCs w:val="24"/>
        </w:rPr>
      </w:pPr>
      <w:r w:rsidRPr="009D4D68">
        <w:rPr>
          <w:rFonts w:ascii="Century" w:hAnsi="Century"/>
          <w:sz w:val="24"/>
          <w:szCs w:val="24"/>
        </w:rPr>
        <w:t xml:space="preserve">Issues Re: “Personal </w:t>
      </w:r>
      <w:proofErr w:type="gramStart"/>
      <w:r w:rsidRPr="009D4D68">
        <w:rPr>
          <w:rFonts w:ascii="Century" w:hAnsi="Century"/>
          <w:sz w:val="24"/>
          <w:szCs w:val="24"/>
        </w:rPr>
        <w:t>And</w:t>
      </w:r>
      <w:proofErr w:type="gramEnd"/>
      <w:r w:rsidRPr="009D4D68">
        <w:rPr>
          <w:rFonts w:ascii="Century" w:hAnsi="Century"/>
          <w:sz w:val="24"/>
          <w:szCs w:val="24"/>
        </w:rPr>
        <w:t xml:space="preserve"> Advertising Injury” Coverage Under For Cyber Risks Under Standard Forms</w:t>
      </w:r>
    </w:p>
    <w:p w:rsidR="009D4D68" w:rsidRPr="009D4D68" w:rsidRDefault="009D4D68" w:rsidP="009D4D68">
      <w:pPr>
        <w:pStyle w:val="15sp05"/>
      </w:pPr>
    </w:p>
    <w:p w:rsidR="009D4D68" w:rsidRPr="007E4CF0" w:rsidRDefault="009D4D68" w:rsidP="00D117C9">
      <w:pPr>
        <w:spacing w:after="240" w:line="480" w:lineRule="auto"/>
        <w:jc w:val="both"/>
        <w:rPr>
          <w:rFonts w:ascii="Century" w:hAnsi="Century"/>
          <w:sz w:val="24"/>
          <w:szCs w:val="24"/>
        </w:rPr>
      </w:pPr>
      <w:r w:rsidRPr="007E4CF0">
        <w:rPr>
          <w:rFonts w:ascii="Century" w:hAnsi="Century"/>
          <w:sz w:val="24"/>
          <w:szCs w:val="24"/>
        </w:rPr>
        <w:t>Previous attempts to find coverage for third party Cyber Risks under standardized “personal and advertising risk” coverages have generally focused on the enumerated offense of “[o]</w:t>
      </w:r>
      <w:proofErr w:type="spellStart"/>
      <w:r w:rsidRPr="007E4CF0">
        <w:rPr>
          <w:rFonts w:ascii="Century" w:hAnsi="Century"/>
          <w:sz w:val="24"/>
          <w:szCs w:val="24"/>
        </w:rPr>
        <w:t>ral</w:t>
      </w:r>
      <w:proofErr w:type="spellEnd"/>
      <w:r w:rsidRPr="007E4CF0">
        <w:rPr>
          <w:rFonts w:ascii="Century" w:hAnsi="Century"/>
          <w:sz w:val="24"/>
          <w:szCs w:val="24"/>
        </w:rPr>
        <w:t xml:space="preserve"> or written publication, in any manner, of material that violates a person’s right of privacy.”</w:t>
      </w:r>
      <w:r w:rsidRPr="007E4CF0">
        <w:rPr>
          <w:rStyle w:val="FootnoteReference"/>
          <w:rFonts w:ascii="Century" w:hAnsi="Century"/>
          <w:sz w:val="24"/>
          <w:szCs w:val="24"/>
        </w:rPr>
        <w:footnoteReference w:id="6"/>
      </w:r>
      <w:r w:rsidRPr="007E4CF0">
        <w:rPr>
          <w:rFonts w:ascii="Century" w:hAnsi="Century"/>
          <w:sz w:val="24"/>
          <w:szCs w:val="24"/>
        </w:rPr>
        <w:t xml:space="preserve">  In this context, coverage disputes have focused on </w:t>
      </w:r>
      <w:r w:rsidRPr="007E4CF0">
        <w:rPr>
          <w:rFonts w:ascii="Century" w:hAnsi="Century"/>
          <w:sz w:val="24"/>
          <w:szCs w:val="24"/>
        </w:rPr>
        <w:lastRenderedPageBreak/>
        <w:t xml:space="preserve">whether the breach of computer networks which results in the improper release of private information to unauthorized parties satisfies the “publication” requirements in the “right to privacy” offense.  </w:t>
      </w:r>
    </w:p>
    <w:p w:rsidR="009D4D68" w:rsidRPr="007E4CF0" w:rsidRDefault="009D4D68" w:rsidP="00D117C9">
      <w:pPr>
        <w:spacing w:after="240" w:line="480" w:lineRule="auto"/>
        <w:jc w:val="both"/>
        <w:rPr>
          <w:rFonts w:ascii="Century" w:hAnsi="Century"/>
          <w:sz w:val="24"/>
          <w:szCs w:val="24"/>
        </w:rPr>
      </w:pPr>
      <w:r w:rsidRPr="007E4CF0">
        <w:rPr>
          <w:rFonts w:ascii="Century" w:hAnsi="Century"/>
          <w:sz w:val="24"/>
          <w:szCs w:val="24"/>
        </w:rPr>
        <w:t xml:space="preserve">For example, in </w:t>
      </w:r>
      <w:r w:rsidRPr="007E4CF0">
        <w:rPr>
          <w:rFonts w:ascii="Century" w:hAnsi="Century"/>
          <w:i/>
          <w:sz w:val="24"/>
          <w:szCs w:val="24"/>
        </w:rPr>
        <w:t xml:space="preserve">Travelers </w:t>
      </w:r>
      <w:proofErr w:type="spellStart"/>
      <w:r w:rsidRPr="007E4CF0">
        <w:rPr>
          <w:rFonts w:ascii="Century" w:hAnsi="Century"/>
          <w:i/>
          <w:sz w:val="24"/>
          <w:szCs w:val="24"/>
        </w:rPr>
        <w:t>Indem</w:t>
      </w:r>
      <w:proofErr w:type="spellEnd"/>
      <w:r w:rsidRPr="007E4CF0">
        <w:rPr>
          <w:rFonts w:ascii="Century" w:hAnsi="Century"/>
          <w:i/>
          <w:sz w:val="24"/>
          <w:szCs w:val="24"/>
        </w:rPr>
        <w:t>. Co. of Am. v. Portal Healthcare Sols., LLC</w:t>
      </w:r>
      <w:r w:rsidRPr="007E4CF0">
        <w:rPr>
          <w:rFonts w:ascii="Century" w:hAnsi="Century"/>
          <w:sz w:val="24"/>
          <w:szCs w:val="24"/>
        </w:rPr>
        <w:t>, 35 F.Supp.3d 765 (</w:t>
      </w:r>
      <w:proofErr w:type="spellStart"/>
      <w:r w:rsidRPr="007E4CF0">
        <w:rPr>
          <w:rFonts w:ascii="Century" w:hAnsi="Century"/>
          <w:sz w:val="24"/>
          <w:szCs w:val="24"/>
        </w:rPr>
        <w:t>E.D.Va</w:t>
      </w:r>
      <w:proofErr w:type="spellEnd"/>
      <w:r w:rsidRPr="007E4CF0">
        <w:rPr>
          <w:rFonts w:ascii="Century" w:hAnsi="Century"/>
          <w:sz w:val="24"/>
          <w:szCs w:val="24"/>
        </w:rPr>
        <w:t xml:space="preserve">. 2014), the insured faced a class action suit alleging that it had failed to safeguard confidential medical records of hospital patients, with the result that those same records had become publically accessible via the internet.  </w:t>
      </w:r>
      <w:r w:rsidRPr="007E4CF0">
        <w:rPr>
          <w:rFonts w:ascii="Century" w:hAnsi="Century"/>
          <w:i/>
          <w:sz w:val="24"/>
          <w:szCs w:val="24"/>
        </w:rPr>
        <w:t>Id.</w:t>
      </w:r>
      <w:r w:rsidRPr="007E4CF0">
        <w:rPr>
          <w:rFonts w:ascii="Century" w:hAnsi="Century"/>
          <w:sz w:val="24"/>
          <w:szCs w:val="24"/>
        </w:rPr>
        <w:t xml:space="preserve">, 767-768.  On summary judgment, the district court determined the insurer had a duty to defend the suit because: (1) “exposing material to the online searching of a patient's name does constitute a ‘publication’ of electronic material”; and (2) “the public availability of a patient's confidential medical records gave ‘unreasonable publicity’ to that patient's private life and ‘disclose[d]” information about that patient's private life’’ as required to trigger potential coverage.  </w:t>
      </w:r>
      <w:r w:rsidRPr="007E4CF0">
        <w:rPr>
          <w:rFonts w:ascii="Century" w:hAnsi="Century"/>
          <w:i/>
          <w:sz w:val="24"/>
          <w:szCs w:val="24"/>
        </w:rPr>
        <w:t>Id.</w:t>
      </w:r>
      <w:r w:rsidRPr="007E4CF0">
        <w:rPr>
          <w:rFonts w:ascii="Century" w:hAnsi="Century"/>
          <w:sz w:val="24"/>
          <w:szCs w:val="24"/>
        </w:rPr>
        <w:t xml:space="preserve">, 770-772; </w:t>
      </w:r>
      <w:r w:rsidRPr="007E4CF0">
        <w:rPr>
          <w:rFonts w:ascii="Century" w:hAnsi="Century"/>
          <w:i/>
          <w:sz w:val="24"/>
          <w:szCs w:val="24"/>
        </w:rPr>
        <w:t xml:space="preserve">see also Netscape Commc'ns Corp. v. Fed. Ins. Co., </w:t>
      </w:r>
      <w:r w:rsidRPr="007E4CF0">
        <w:rPr>
          <w:rFonts w:ascii="Century" w:hAnsi="Century"/>
          <w:sz w:val="24"/>
          <w:szCs w:val="24"/>
        </w:rPr>
        <w:t xml:space="preserve">343 </w:t>
      </w:r>
      <w:proofErr w:type="spellStart"/>
      <w:r w:rsidRPr="007E4CF0">
        <w:rPr>
          <w:rFonts w:ascii="Century" w:hAnsi="Century"/>
          <w:sz w:val="24"/>
          <w:szCs w:val="24"/>
        </w:rPr>
        <w:t>F.App'x</w:t>
      </w:r>
      <w:proofErr w:type="spellEnd"/>
      <w:r w:rsidRPr="007E4CF0">
        <w:rPr>
          <w:rFonts w:ascii="Century" w:hAnsi="Century"/>
          <w:sz w:val="24"/>
          <w:szCs w:val="24"/>
        </w:rPr>
        <w:t xml:space="preserve"> 271, 272 (9th Cir. 2009) (allegations “that AOL had intercepted and internally disseminated private online communications” sufficient to trigger “invasion of right to privacy” personal injury coverage because of “the policy's language covering disclosure to ‘any’ person or organization, which we find dispositive.”); </w:t>
      </w:r>
      <w:r w:rsidRPr="007E4CF0">
        <w:rPr>
          <w:rFonts w:ascii="Century" w:hAnsi="Century"/>
          <w:i/>
          <w:sz w:val="24"/>
          <w:szCs w:val="24"/>
        </w:rPr>
        <w:t>Tamm v. Hartford Fire Ins. Co</w:t>
      </w:r>
      <w:r w:rsidRPr="007E4CF0">
        <w:rPr>
          <w:rFonts w:ascii="Century" w:hAnsi="Century"/>
          <w:sz w:val="24"/>
          <w:szCs w:val="24"/>
        </w:rPr>
        <w:t>., 2003 WL 21960374, at *3 (</w:t>
      </w:r>
      <w:proofErr w:type="spellStart"/>
      <w:r w:rsidRPr="007E4CF0">
        <w:rPr>
          <w:rFonts w:ascii="Century" w:hAnsi="Century"/>
          <w:sz w:val="24"/>
          <w:szCs w:val="24"/>
        </w:rPr>
        <w:t>Mass.Super</w:t>
      </w:r>
      <w:proofErr w:type="spellEnd"/>
      <w:r w:rsidRPr="007E4CF0">
        <w:rPr>
          <w:rFonts w:ascii="Century" w:hAnsi="Century"/>
          <w:sz w:val="24"/>
          <w:szCs w:val="24"/>
        </w:rPr>
        <w:t>. 2003) (holding that “allegations of sending [] private</w:t>
      </w:r>
      <w:r w:rsidRPr="009D4D68">
        <w:rPr>
          <w:rFonts w:ascii="Century" w:hAnsi="Century"/>
          <w:b/>
          <w:sz w:val="24"/>
          <w:szCs w:val="24"/>
        </w:rPr>
        <w:t xml:space="preserve"> </w:t>
      </w:r>
      <w:r w:rsidRPr="007E4CF0">
        <w:rPr>
          <w:rFonts w:ascii="Century" w:hAnsi="Century"/>
          <w:sz w:val="24"/>
          <w:szCs w:val="24"/>
        </w:rPr>
        <w:t>communications via e-mail to outside attorneys seemingly satisfies both prongs under the invasion of privacy clause of the policy.”)</w:t>
      </w:r>
    </w:p>
    <w:p w:rsidR="009D4D68" w:rsidRPr="007E4CF0" w:rsidRDefault="009D4D68" w:rsidP="00D117C9">
      <w:pPr>
        <w:spacing w:after="240" w:line="480" w:lineRule="auto"/>
        <w:jc w:val="both"/>
        <w:rPr>
          <w:rFonts w:ascii="Century" w:hAnsi="Century"/>
          <w:sz w:val="24"/>
          <w:szCs w:val="24"/>
        </w:rPr>
      </w:pPr>
      <w:r w:rsidRPr="007E4CF0">
        <w:rPr>
          <w:rFonts w:ascii="Century" w:hAnsi="Century"/>
          <w:sz w:val="24"/>
          <w:szCs w:val="24"/>
        </w:rPr>
        <w:lastRenderedPageBreak/>
        <w:t xml:space="preserve">Conversely, in </w:t>
      </w:r>
      <w:r w:rsidRPr="007E4CF0">
        <w:rPr>
          <w:rFonts w:ascii="Century" w:hAnsi="Century"/>
          <w:i/>
          <w:sz w:val="24"/>
          <w:szCs w:val="24"/>
        </w:rPr>
        <w:t>Recall Total Info. Mgmt., Inc. v. Fed. Ins. Co</w:t>
      </w:r>
      <w:r w:rsidRPr="007E4CF0">
        <w:rPr>
          <w:rFonts w:ascii="Century" w:hAnsi="Century"/>
          <w:sz w:val="24"/>
          <w:szCs w:val="24"/>
        </w:rPr>
        <w:t xml:space="preserve">., 147 </w:t>
      </w:r>
      <w:proofErr w:type="spellStart"/>
      <w:r w:rsidRPr="007E4CF0">
        <w:rPr>
          <w:rFonts w:ascii="Century" w:hAnsi="Century"/>
          <w:sz w:val="24"/>
          <w:szCs w:val="24"/>
        </w:rPr>
        <w:t>Conn.App</w:t>
      </w:r>
      <w:proofErr w:type="spellEnd"/>
      <w:r w:rsidRPr="007E4CF0">
        <w:rPr>
          <w:rFonts w:ascii="Century" w:hAnsi="Century"/>
          <w:sz w:val="24"/>
          <w:szCs w:val="24"/>
        </w:rPr>
        <w:t xml:space="preserve">. 450 (2014) aff'd, 317 Conn. 46 (2015), the insureds sought reimbursement for over $6 million paid in settlement of losses caused when they lost their client’s data tapes containing employee personal data during transport.  </w:t>
      </w:r>
      <w:r w:rsidRPr="007E4CF0">
        <w:rPr>
          <w:rFonts w:ascii="Century" w:hAnsi="Century"/>
          <w:i/>
          <w:sz w:val="24"/>
          <w:szCs w:val="24"/>
        </w:rPr>
        <w:t>Id.</w:t>
      </w:r>
      <w:r w:rsidRPr="007E4CF0">
        <w:rPr>
          <w:rFonts w:ascii="Century" w:hAnsi="Century"/>
          <w:sz w:val="24"/>
          <w:szCs w:val="24"/>
        </w:rPr>
        <w:t xml:space="preserve">, 454-455.  The trial court held the insureds’ “invasion of right to privacy” personal injury coverage under their CGL policy did not apply to the loss and the Court of Appeal agreed, finding the loss of data, standing alone, did not constitute “publication” of the private employee information.  </w:t>
      </w:r>
      <w:r w:rsidRPr="007E4CF0">
        <w:rPr>
          <w:rFonts w:ascii="Century" w:hAnsi="Century"/>
          <w:i/>
          <w:sz w:val="24"/>
          <w:szCs w:val="24"/>
        </w:rPr>
        <w:t>Id.</w:t>
      </w:r>
      <w:r w:rsidRPr="007E4CF0">
        <w:rPr>
          <w:rFonts w:ascii="Century" w:hAnsi="Century"/>
          <w:sz w:val="24"/>
          <w:szCs w:val="24"/>
        </w:rPr>
        <w:t xml:space="preserve">, 462  (“On the basis of our review of the policy, we conclude that personal injury presupposes </w:t>
      </w:r>
      <w:r w:rsidRPr="007E4CF0">
        <w:rPr>
          <w:rFonts w:ascii="Century" w:hAnsi="Century"/>
          <w:i/>
          <w:sz w:val="24"/>
          <w:szCs w:val="24"/>
        </w:rPr>
        <w:t>publication</w:t>
      </w:r>
      <w:r w:rsidRPr="007E4CF0">
        <w:rPr>
          <w:rFonts w:ascii="Century" w:hAnsi="Century"/>
          <w:sz w:val="24"/>
          <w:szCs w:val="24"/>
        </w:rPr>
        <w:t xml:space="preserve"> of the personal information contained on the tapes. Thus, the dispositive issue is not loss of the physical tapes themselves; rather, it is whether the information in them has been </w:t>
      </w:r>
      <w:r w:rsidRPr="007E4CF0">
        <w:rPr>
          <w:rFonts w:ascii="Century" w:hAnsi="Century"/>
          <w:i/>
          <w:sz w:val="24"/>
          <w:szCs w:val="24"/>
        </w:rPr>
        <w:t>published</w:t>
      </w:r>
      <w:r w:rsidRPr="007E4CF0">
        <w:rPr>
          <w:rFonts w:ascii="Century" w:hAnsi="Century"/>
          <w:sz w:val="24"/>
          <w:szCs w:val="24"/>
        </w:rPr>
        <w:t xml:space="preserve">. The plaintiffs contend that the mere loss of the tapes constitutes a </w:t>
      </w:r>
      <w:proofErr w:type="gramStart"/>
      <w:r w:rsidRPr="007E4CF0">
        <w:rPr>
          <w:rFonts w:ascii="Century" w:hAnsi="Century"/>
          <w:sz w:val="24"/>
          <w:szCs w:val="24"/>
        </w:rPr>
        <w:t>publication, and</w:t>
      </w:r>
      <w:proofErr w:type="gramEnd"/>
      <w:r w:rsidRPr="007E4CF0">
        <w:rPr>
          <w:rFonts w:ascii="Century" w:hAnsi="Century"/>
          <w:sz w:val="24"/>
          <w:szCs w:val="24"/>
        </w:rPr>
        <w:t xml:space="preserve"> has alleged that the information was </w:t>
      </w:r>
      <w:r w:rsidRPr="007E4CF0">
        <w:rPr>
          <w:rFonts w:ascii="Century" w:hAnsi="Century"/>
          <w:i/>
          <w:sz w:val="24"/>
          <w:szCs w:val="24"/>
        </w:rPr>
        <w:t>published</w:t>
      </w:r>
      <w:r w:rsidRPr="007E4CF0">
        <w:rPr>
          <w:rFonts w:ascii="Century" w:hAnsi="Century"/>
          <w:sz w:val="24"/>
          <w:szCs w:val="24"/>
        </w:rPr>
        <w:t xml:space="preserve"> to a thief. The plaintiffs have failed to cite any evidence that the information was published and thereby failed to take their allegation beyond the realm of speculation.”)</w:t>
      </w:r>
    </w:p>
    <w:p w:rsidR="00505726" w:rsidRPr="007E4CF0" w:rsidRDefault="009D4D68" w:rsidP="00D117C9">
      <w:pPr>
        <w:spacing w:after="240" w:line="480" w:lineRule="auto"/>
        <w:jc w:val="both"/>
        <w:rPr>
          <w:rFonts w:ascii="Century" w:hAnsi="Century"/>
          <w:sz w:val="24"/>
          <w:szCs w:val="24"/>
        </w:rPr>
      </w:pPr>
      <w:r w:rsidRPr="007E4CF0">
        <w:rPr>
          <w:rFonts w:ascii="Century" w:hAnsi="Century"/>
          <w:sz w:val="24"/>
          <w:szCs w:val="24"/>
        </w:rPr>
        <w:t xml:space="preserve">Similarly, in </w:t>
      </w:r>
      <w:r w:rsidRPr="007E4CF0">
        <w:rPr>
          <w:rFonts w:ascii="Century" w:hAnsi="Century"/>
          <w:i/>
          <w:sz w:val="24"/>
          <w:szCs w:val="24"/>
        </w:rPr>
        <w:t>Zurich Am. Ins. Co. v. Sony Corp. of Am.</w:t>
      </w:r>
      <w:r w:rsidRPr="007E4CF0">
        <w:rPr>
          <w:rFonts w:ascii="Century" w:hAnsi="Century"/>
          <w:sz w:val="24"/>
          <w:szCs w:val="24"/>
        </w:rPr>
        <w:t>, Case No. 651982/2001 (</w:t>
      </w:r>
      <w:proofErr w:type="spellStart"/>
      <w:r w:rsidRPr="007E4CF0">
        <w:rPr>
          <w:rFonts w:ascii="Century" w:hAnsi="Century"/>
          <w:sz w:val="24"/>
          <w:szCs w:val="24"/>
        </w:rPr>
        <w:t>N.Y.Sup.Ct</w:t>
      </w:r>
      <w:proofErr w:type="spellEnd"/>
      <w:r w:rsidRPr="007E4CF0">
        <w:rPr>
          <w:rFonts w:ascii="Century" w:hAnsi="Century"/>
          <w:sz w:val="24"/>
          <w:szCs w:val="24"/>
        </w:rPr>
        <w:t xml:space="preserve">. 2014), the coverage dispute arose out of the “hacking” of Sony’s PlayStation Network in </w:t>
      </w:r>
      <w:proofErr w:type="gramStart"/>
      <w:r w:rsidRPr="007E4CF0">
        <w:rPr>
          <w:rFonts w:ascii="Century" w:hAnsi="Century"/>
          <w:sz w:val="24"/>
          <w:szCs w:val="24"/>
        </w:rPr>
        <w:t>April,</w:t>
      </w:r>
      <w:proofErr w:type="gramEnd"/>
      <w:r w:rsidRPr="007E4CF0">
        <w:rPr>
          <w:rFonts w:ascii="Century" w:hAnsi="Century"/>
          <w:sz w:val="24"/>
          <w:szCs w:val="24"/>
        </w:rPr>
        <w:t xml:space="preserve"> 2001, which resulted in the theft of personal information of over 77 million users.  At the trial court level, it was found that there was a “publication” of the users’ personal information in violation of their “right to privacy”.  At the same time, the court found no coverage was triggered because the relevant “publication” was not by the insured, but rather was the result of the </w:t>
      </w:r>
      <w:r w:rsidRPr="007E4CF0">
        <w:rPr>
          <w:rFonts w:ascii="Century" w:hAnsi="Century"/>
          <w:sz w:val="24"/>
          <w:szCs w:val="24"/>
        </w:rPr>
        <w:lastRenderedPageBreak/>
        <w:t xml:space="preserve">criminal acts of a third party. </w:t>
      </w:r>
      <w:r w:rsidRPr="007E4CF0">
        <w:rPr>
          <w:rFonts w:ascii="Century" w:hAnsi="Century"/>
          <w:i/>
          <w:sz w:val="24"/>
          <w:szCs w:val="24"/>
        </w:rPr>
        <w:t xml:space="preserve">Id. </w:t>
      </w:r>
      <w:r w:rsidRPr="007E4CF0">
        <w:rPr>
          <w:rFonts w:ascii="Century" w:hAnsi="Century"/>
          <w:sz w:val="24"/>
          <w:szCs w:val="24"/>
        </w:rPr>
        <w:t>(holding the applicable offence definition required “an act by or some kind of act or conduct by the policyholder in order for coverage to be present”).</w:t>
      </w:r>
      <w:r w:rsidRPr="007E4CF0">
        <w:rPr>
          <w:rStyle w:val="FootnoteReference"/>
          <w:rFonts w:ascii="Century" w:hAnsi="Century"/>
          <w:sz w:val="24"/>
          <w:szCs w:val="24"/>
        </w:rPr>
        <w:footnoteReference w:id="7"/>
      </w:r>
      <w:r w:rsidRPr="007E4CF0">
        <w:rPr>
          <w:rFonts w:ascii="Century" w:hAnsi="Century"/>
          <w:sz w:val="24"/>
          <w:szCs w:val="24"/>
        </w:rPr>
        <w:t xml:space="preserve">  </w:t>
      </w:r>
    </w:p>
    <w:p w:rsidR="009D4D68" w:rsidRPr="007E4CF0" w:rsidRDefault="009D4D68" w:rsidP="00D117C9">
      <w:pPr>
        <w:spacing w:after="240" w:line="480" w:lineRule="auto"/>
        <w:jc w:val="both"/>
        <w:rPr>
          <w:rFonts w:ascii="Century" w:hAnsi="Century"/>
          <w:i/>
          <w:sz w:val="24"/>
          <w:szCs w:val="24"/>
        </w:rPr>
      </w:pPr>
      <w:r w:rsidRPr="007E4CF0">
        <w:rPr>
          <w:rFonts w:ascii="Century" w:hAnsi="Century"/>
          <w:sz w:val="24"/>
          <w:szCs w:val="24"/>
        </w:rPr>
        <w:t>However, and as is the case with potential “property damage” coverage, it is likely that  “personal and advertising injury” coverage for similar computer network security breaches increasingly will be eliminated by newer policy exclusions targeted to preclude coverage for such liability risks.</w:t>
      </w:r>
      <w:r w:rsidRPr="007E4CF0">
        <w:rPr>
          <w:rStyle w:val="FootnoteReference"/>
          <w:rFonts w:ascii="Century" w:hAnsi="Century"/>
          <w:sz w:val="24"/>
          <w:szCs w:val="24"/>
        </w:rPr>
        <w:footnoteReference w:id="8"/>
      </w:r>
    </w:p>
    <w:p w:rsidR="001717BB" w:rsidRPr="00F110B9" w:rsidRDefault="00EF5465" w:rsidP="00F110B9">
      <w:pPr>
        <w:pStyle w:val="Level2"/>
        <w:keepNext w:val="0"/>
        <w:spacing w:after="200" w:line="480" w:lineRule="auto"/>
        <w:jc w:val="both"/>
        <w:rPr>
          <w:rFonts w:ascii="Century" w:hAnsi="Century" w:cs="Times New Roman"/>
          <w:sz w:val="24"/>
          <w:szCs w:val="24"/>
        </w:rPr>
      </w:pPr>
      <w:r w:rsidRPr="00F110B9">
        <w:rPr>
          <w:rFonts w:ascii="Century" w:hAnsi="Century" w:cs="Times New Roman"/>
          <w:sz w:val="24"/>
          <w:szCs w:val="24"/>
        </w:rPr>
        <w:t>Common Current</w:t>
      </w:r>
      <w:r w:rsidR="001717BB" w:rsidRPr="00F110B9">
        <w:rPr>
          <w:rFonts w:ascii="Century" w:hAnsi="Century" w:cs="Times New Roman"/>
          <w:sz w:val="24"/>
          <w:szCs w:val="24"/>
        </w:rPr>
        <w:t xml:space="preserve"> </w:t>
      </w:r>
      <w:r w:rsidR="009D4D68">
        <w:rPr>
          <w:rFonts w:ascii="Century" w:hAnsi="Century" w:cs="Times New Roman"/>
          <w:sz w:val="24"/>
          <w:szCs w:val="24"/>
        </w:rPr>
        <w:t xml:space="preserve">Cyber </w:t>
      </w:r>
      <w:r w:rsidR="001717BB" w:rsidRPr="00F110B9">
        <w:rPr>
          <w:rFonts w:ascii="Century" w:hAnsi="Century" w:cs="Times New Roman"/>
          <w:sz w:val="24"/>
          <w:szCs w:val="24"/>
        </w:rPr>
        <w:t>Coverages</w:t>
      </w:r>
    </w:p>
    <w:p w:rsidR="00896F45" w:rsidRPr="00F110B9" w:rsidRDefault="00896F45" w:rsidP="00F110B9">
      <w:pPr>
        <w:pStyle w:val="Level3"/>
        <w:keepNext w:val="0"/>
        <w:spacing w:after="200" w:line="480" w:lineRule="auto"/>
        <w:jc w:val="both"/>
        <w:rPr>
          <w:rFonts w:ascii="Century" w:hAnsi="Century"/>
          <w:sz w:val="24"/>
          <w:szCs w:val="24"/>
        </w:rPr>
      </w:pPr>
      <w:r w:rsidRPr="00F110B9">
        <w:rPr>
          <w:rFonts w:ascii="Century" w:hAnsi="Century"/>
          <w:sz w:val="24"/>
          <w:szCs w:val="24"/>
        </w:rPr>
        <w:t>Privacy Notification Obligations</w:t>
      </w:r>
    </w:p>
    <w:p w:rsidR="00747EFA" w:rsidRPr="00F110B9" w:rsidRDefault="00747EFA" w:rsidP="00F110B9">
      <w:pPr>
        <w:pStyle w:val="15sp05"/>
        <w:spacing w:after="200" w:line="480" w:lineRule="auto"/>
        <w:ind w:firstLine="0"/>
        <w:jc w:val="both"/>
        <w:rPr>
          <w:rFonts w:ascii="Century" w:hAnsi="Century"/>
          <w:sz w:val="24"/>
          <w:szCs w:val="24"/>
        </w:rPr>
      </w:pPr>
      <w:r w:rsidRPr="00F110B9">
        <w:rPr>
          <w:rFonts w:ascii="Century" w:hAnsi="Century"/>
          <w:sz w:val="24"/>
          <w:szCs w:val="24"/>
        </w:rPr>
        <w:t xml:space="preserve">With Alabama's passage of a Data Breach Notification Act of 2018, all 50 states now have laws requiring notification to individuals whose personal information is exposed as the result of a data breach. Compliance with each state law is the function of the state where the </w:t>
      </w:r>
      <w:r w:rsidRPr="007C3C15">
        <w:rPr>
          <w:rFonts w:ascii="Century" w:hAnsi="Century"/>
          <w:i/>
          <w:sz w:val="24"/>
          <w:szCs w:val="24"/>
        </w:rPr>
        <w:t>affected</w:t>
      </w:r>
      <w:r w:rsidRPr="00F110B9">
        <w:rPr>
          <w:rFonts w:ascii="Century" w:hAnsi="Century"/>
          <w:sz w:val="24"/>
          <w:szCs w:val="24"/>
        </w:rPr>
        <w:t xml:space="preserve"> individual resides</w:t>
      </w:r>
      <w:r w:rsidR="007C3C15">
        <w:rPr>
          <w:rFonts w:ascii="Century" w:hAnsi="Century"/>
          <w:sz w:val="24"/>
          <w:szCs w:val="24"/>
        </w:rPr>
        <w:t>.  T</w:t>
      </w:r>
      <w:r w:rsidRPr="00F110B9">
        <w:rPr>
          <w:rFonts w:ascii="Century" w:hAnsi="Century"/>
          <w:sz w:val="24"/>
          <w:szCs w:val="24"/>
        </w:rPr>
        <w:t>hus</w:t>
      </w:r>
      <w:r w:rsidR="007C3C15">
        <w:rPr>
          <w:rFonts w:ascii="Century" w:hAnsi="Century"/>
          <w:sz w:val="24"/>
          <w:szCs w:val="24"/>
        </w:rPr>
        <w:t>,</w:t>
      </w:r>
      <w:r w:rsidRPr="00F110B9">
        <w:rPr>
          <w:rFonts w:ascii="Century" w:hAnsi="Century"/>
          <w:sz w:val="24"/>
          <w:szCs w:val="24"/>
        </w:rPr>
        <w:t xml:space="preserve"> an organization thought to wholly operate within the confines of a single state may be subject to </w:t>
      </w:r>
      <w:r w:rsidRPr="00F110B9">
        <w:rPr>
          <w:rFonts w:ascii="Century" w:hAnsi="Century"/>
          <w:sz w:val="24"/>
          <w:szCs w:val="24"/>
        </w:rPr>
        <w:lastRenderedPageBreak/>
        <w:t>notification requirements of other states. As examples, notification may be required based on:</w:t>
      </w:r>
    </w:p>
    <w:p w:rsidR="00747EFA" w:rsidRPr="00F110B9" w:rsidRDefault="00747EFA" w:rsidP="00F110B9">
      <w:pPr>
        <w:pStyle w:val="15sp05"/>
        <w:numPr>
          <w:ilvl w:val="0"/>
          <w:numId w:val="14"/>
        </w:numPr>
        <w:spacing w:after="200" w:line="480" w:lineRule="auto"/>
        <w:jc w:val="both"/>
        <w:rPr>
          <w:rFonts w:ascii="Century" w:hAnsi="Century"/>
          <w:sz w:val="24"/>
          <w:szCs w:val="24"/>
        </w:rPr>
      </w:pPr>
      <w:r w:rsidRPr="00F110B9">
        <w:rPr>
          <w:rFonts w:ascii="Century" w:hAnsi="Century"/>
          <w:b/>
          <w:sz w:val="24"/>
          <w:szCs w:val="24"/>
        </w:rPr>
        <w:t>Risk of harm analysis (e.g., Massachusetts)</w:t>
      </w:r>
      <w:r w:rsidRPr="00F110B9">
        <w:rPr>
          <w:rFonts w:ascii="Century" w:hAnsi="Century"/>
          <w:sz w:val="24"/>
          <w:szCs w:val="24"/>
        </w:rPr>
        <w:t>: Notification required where breach creates a substantial risk of identity theft of fraud against a resident or when the data owner knows or has reason to know that an unauthorized person acquired the resident's personal information for an unauthorized purpose</w:t>
      </w:r>
    </w:p>
    <w:p w:rsidR="00747EFA" w:rsidRPr="00F110B9" w:rsidRDefault="00747EFA" w:rsidP="00F110B9">
      <w:pPr>
        <w:pStyle w:val="15sp05"/>
        <w:numPr>
          <w:ilvl w:val="0"/>
          <w:numId w:val="14"/>
        </w:numPr>
        <w:spacing w:after="200" w:line="480" w:lineRule="auto"/>
        <w:jc w:val="both"/>
        <w:rPr>
          <w:rFonts w:ascii="Century" w:hAnsi="Century"/>
          <w:sz w:val="24"/>
          <w:szCs w:val="24"/>
        </w:rPr>
      </w:pPr>
      <w:r w:rsidRPr="00F110B9">
        <w:rPr>
          <w:rFonts w:ascii="Century" w:hAnsi="Century"/>
          <w:b/>
          <w:sz w:val="24"/>
          <w:szCs w:val="24"/>
        </w:rPr>
        <w:t>Trigger  by access (e.g., California)</w:t>
      </w:r>
      <w:r w:rsidRPr="00F110B9">
        <w:rPr>
          <w:rFonts w:ascii="Century" w:hAnsi="Century"/>
          <w:sz w:val="24"/>
          <w:szCs w:val="24"/>
        </w:rPr>
        <w:t>: Notification for any breach of the security of the system containing PII following discovery or notification of the breach</w:t>
      </w:r>
    </w:p>
    <w:p w:rsidR="00747EFA" w:rsidRPr="00F110B9" w:rsidRDefault="00747EFA" w:rsidP="00F110B9">
      <w:pPr>
        <w:pStyle w:val="15sp05"/>
        <w:spacing w:after="200" w:line="480" w:lineRule="auto"/>
        <w:ind w:firstLine="0"/>
        <w:jc w:val="both"/>
        <w:rPr>
          <w:rFonts w:ascii="Century" w:hAnsi="Century"/>
          <w:sz w:val="24"/>
          <w:szCs w:val="24"/>
        </w:rPr>
      </w:pPr>
      <w:r w:rsidRPr="00F110B9">
        <w:rPr>
          <w:rFonts w:ascii="Century" w:hAnsi="Century"/>
          <w:sz w:val="24"/>
          <w:szCs w:val="24"/>
        </w:rPr>
        <w:t>Notification may also be required based on Federal Law</w:t>
      </w:r>
      <w:r w:rsidR="007C3C15">
        <w:rPr>
          <w:rFonts w:ascii="Century" w:hAnsi="Century"/>
          <w:sz w:val="24"/>
          <w:szCs w:val="24"/>
        </w:rPr>
        <w:t>.  F</w:t>
      </w:r>
      <w:r w:rsidRPr="00F110B9">
        <w:rPr>
          <w:rFonts w:ascii="Century" w:hAnsi="Century"/>
          <w:sz w:val="24"/>
          <w:szCs w:val="24"/>
        </w:rPr>
        <w:t>or example</w:t>
      </w:r>
      <w:r w:rsidR="007C3C15">
        <w:rPr>
          <w:rFonts w:ascii="Century" w:hAnsi="Century"/>
          <w:sz w:val="24"/>
          <w:szCs w:val="24"/>
        </w:rPr>
        <w:t>,</w:t>
      </w:r>
      <w:r w:rsidRPr="00F110B9">
        <w:rPr>
          <w:rFonts w:ascii="Century" w:hAnsi="Century"/>
          <w:sz w:val="24"/>
          <w:szCs w:val="24"/>
        </w:rPr>
        <w:t xml:space="preserve"> HIPAA for Protected Health Information.</w:t>
      </w:r>
    </w:p>
    <w:p w:rsidR="00896F45" w:rsidRPr="00F110B9" w:rsidRDefault="00896F45" w:rsidP="00F110B9">
      <w:pPr>
        <w:pStyle w:val="Level3"/>
        <w:keepNext w:val="0"/>
        <w:spacing w:after="200" w:line="480" w:lineRule="auto"/>
        <w:jc w:val="both"/>
        <w:rPr>
          <w:rFonts w:ascii="Century" w:hAnsi="Century"/>
          <w:sz w:val="24"/>
          <w:szCs w:val="24"/>
        </w:rPr>
      </w:pPr>
      <w:r w:rsidRPr="00F110B9">
        <w:rPr>
          <w:rFonts w:ascii="Century" w:hAnsi="Century"/>
          <w:sz w:val="24"/>
          <w:szCs w:val="24"/>
        </w:rPr>
        <w:t>Regulatory Expenses</w:t>
      </w:r>
    </w:p>
    <w:p w:rsidR="007D310B" w:rsidRPr="00F110B9" w:rsidRDefault="001717BB" w:rsidP="00F110B9">
      <w:pPr>
        <w:pStyle w:val="10sp0"/>
        <w:spacing w:after="200" w:line="480" w:lineRule="auto"/>
        <w:jc w:val="both"/>
        <w:rPr>
          <w:rFonts w:ascii="Century" w:hAnsi="Century"/>
          <w:sz w:val="24"/>
          <w:szCs w:val="24"/>
        </w:rPr>
      </w:pPr>
      <w:r w:rsidRPr="00F110B9">
        <w:rPr>
          <w:rFonts w:ascii="Century" w:hAnsi="Century"/>
          <w:sz w:val="24"/>
          <w:szCs w:val="24"/>
        </w:rPr>
        <w:t xml:space="preserve">Office of Civil Rights and State Attorneys General investigations. Generally unpredictable penalties and settlements </w:t>
      </w:r>
      <w:r w:rsidR="007D310B" w:rsidRPr="00F110B9">
        <w:rPr>
          <w:rFonts w:ascii="Century" w:hAnsi="Century"/>
          <w:sz w:val="24"/>
          <w:szCs w:val="24"/>
        </w:rPr>
        <w:t xml:space="preserve">with regulators based on the specific details of any </w:t>
      </w:r>
      <w:r w:rsidR="00252CF2" w:rsidRPr="00F110B9">
        <w:rPr>
          <w:rFonts w:ascii="Century" w:hAnsi="Century"/>
          <w:sz w:val="24"/>
          <w:szCs w:val="24"/>
        </w:rPr>
        <w:t>harm</w:t>
      </w:r>
      <w:r w:rsidR="007D310B" w:rsidRPr="00F110B9">
        <w:rPr>
          <w:rFonts w:ascii="Century" w:hAnsi="Century"/>
          <w:sz w:val="24"/>
          <w:szCs w:val="24"/>
        </w:rPr>
        <w:t xml:space="preserve"> which occur</w:t>
      </w:r>
      <w:r w:rsidR="00252CF2" w:rsidRPr="00F110B9">
        <w:rPr>
          <w:rFonts w:ascii="Century" w:hAnsi="Century"/>
          <w:sz w:val="24"/>
          <w:szCs w:val="24"/>
        </w:rPr>
        <w:t>s</w:t>
      </w:r>
      <w:r w:rsidR="007D310B" w:rsidRPr="00F110B9">
        <w:rPr>
          <w:rFonts w:ascii="Century" w:hAnsi="Century"/>
          <w:sz w:val="24"/>
          <w:szCs w:val="24"/>
        </w:rPr>
        <w:t>.</w:t>
      </w:r>
    </w:p>
    <w:p w:rsidR="00252CF2" w:rsidRPr="00F110B9" w:rsidRDefault="00252CF2" w:rsidP="00F110B9">
      <w:pPr>
        <w:pStyle w:val="10sp0"/>
        <w:spacing w:after="200" w:line="480" w:lineRule="auto"/>
        <w:jc w:val="both"/>
        <w:rPr>
          <w:rFonts w:ascii="Century" w:hAnsi="Century"/>
          <w:sz w:val="24"/>
          <w:szCs w:val="24"/>
        </w:rPr>
      </w:pPr>
      <w:r w:rsidRPr="00F110B9">
        <w:rPr>
          <w:rFonts w:ascii="Century" w:hAnsi="Century"/>
          <w:sz w:val="24"/>
          <w:szCs w:val="24"/>
        </w:rPr>
        <w:t>Often investigations may be temporarily abandoned or dormant, but then reactivate based on later breach, combining multiple data breaches into a single penalty.</w:t>
      </w:r>
    </w:p>
    <w:p w:rsidR="00252CF2" w:rsidRPr="00F110B9" w:rsidRDefault="00252CF2" w:rsidP="00F110B9">
      <w:pPr>
        <w:pStyle w:val="10sp0"/>
        <w:spacing w:after="200" w:line="480" w:lineRule="auto"/>
        <w:jc w:val="both"/>
        <w:rPr>
          <w:rFonts w:ascii="Century" w:hAnsi="Century"/>
          <w:sz w:val="24"/>
          <w:szCs w:val="24"/>
        </w:rPr>
      </w:pPr>
      <w:r w:rsidRPr="00F110B9">
        <w:rPr>
          <w:rFonts w:ascii="Century" w:hAnsi="Century"/>
          <w:sz w:val="24"/>
          <w:szCs w:val="24"/>
        </w:rPr>
        <w:t>Often difficult to coordinate investigations between different regulatory bodies.</w:t>
      </w:r>
    </w:p>
    <w:p w:rsidR="001717BB" w:rsidRPr="00F110B9" w:rsidRDefault="001717BB" w:rsidP="00F110B9">
      <w:pPr>
        <w:pStyle w:val="Level3"/>
        <w:keepNext w:val="0"/>
        <w:spacing w:after="200" w:line="480" w:lineRule="auto"/>
        <w:jc w:val="both"/>
        <w:rPr>
          <w:rFonts w:ascii="Century" w:hAnsi="Century"/>
          <w:sz w:val="24"/>
          <w:szCs w:val="24"/>
        </w:rPr>
      </w:pPr>
      <w:r w:rsidRPr="00F110B9">
        <w:rPr>
          <w:rFonts w:ascii="Century" w:hAnsi="Century"/>
          <w:sz w:val="24"/>
          <w:szCs w:val="24"/>
        </w:rPr>
        <w:t xml:space="preserve">Payment Card </w:t>
      </w:r>
      <w:r w:rsidR="00534208" w:rsidRPr="00F110B9">
        <w:rPr>
          <w:rFonts w:ascii="Century" w:hAnsi="Century"/>
          <w:sz w:val="24"/>
          <w:szCs w:val="24"/>
        </w:rPr>
        <w:t>Industry Fines</w:t>
      </w:r>
    </w:p>
    <w:p w:rsidR="000D188C" w:rsidRPr="00F110B9" w:rsidRDefault="00252CF2" w:rsidP="00F110B9">
      <w:pPr>
        <w:pStyle w:val="15sp05"/>
        <w:spacing w:after="200" w:line="480" w:lineRule="auto"/>
        <w:ind w:firstLine="0"/>
        <w:jc w:val="both"/>
        <w:rPr>
          <w:rFonts w:ascii="Century" w:hAnsi="Century"/>
          <w:sz w:val="24"/>
          <w:szCs w:val="24"/>
        </w:rPr>
      </w:pPr>
      <w:r w:rsidRPr="00F110B9">
        <w:rPr>
          <w:rFonts w:ascii="Century" w:hAnsi="Century"/>
          <w:sz w:val="24"/>
          <w:szCs w:val="24"/>
        </w:rPr>
        <w:lastRenderedPageBreak/>
        <w:t xml:space="preserve">Defense of investigations and appeals of </w:t>
      </w:r>
      <w:r w:rsidR="000D188C" w:rsidRPr="00F110B9">
        <w:rPr>
          <w:rFonts w:ascii="Century" w:hAnsi="Century"/>
          <w:sz w:val="24"/>
          <w:szCs w:val="24"/>
        </w:rPr>
        <w:t>fines by Payment Card Companies in connection with the failure to comply with PCI Data Security Standards.</w:t>
      </w:r>
    </w:p>
    <w:p w:rsidR="00896F45" w:rsidRPr="00F110B9" w:rsidRDefault="00896F45" w:rsidP="00F110B9">
      <w:pPr>
        <w:pStyle w:val="Level3"/>
        <w:keepNext w:val="0"/>
        <w:spacing w:after="200" w:line="480" w:lineRule="auto"/>
        <w:jc w:val="both"/>
        <w:rPr>
          <w:rFonts w:ascii="Century" w:hAnsi="Century"/>
          <w:sz w:val="24"/>
          <w:szCs w:val="24"/>
        </w:rPr>
      </w:pPr>
      <w:r w:rsidRPr="00F110B9">
        <w:rPr>
          <w:rFonts w:ascii="Century" w:hAnsi="Century"/>
          <w:sz w:val="24"/>
          <w:szCs w:val="24"/>
        </w:rPr>
        <w:t>Ransomware Payments</w:t>
      </w:r>
    </w:p>
    <w:p w:rsidR="00FF3C2E" w:rsidRPr="00F110B9" w:rsidRDefault="00FF3C2E" w:rsidP="00F110B9">
      <w:pPr>
        <w:pStyle w:val="10sp0"/>
        <w:spacing w:after="200" w:line="480" w:lineRule="auto"/>
        <w:jc w:val="both"/>
        <w:rPr>
          <w:rFonts w:ascii="Century" w:hAnsi="Century"/>
          <w:sz w:val="24"/>
          <w:szCs w:val="24"/>
        </w:rPr>
      </w:pPr>
      <w:r w:rsidRPr="00F110B9">
        <w:rPr>
          <w:rFonts w:ascii="Century" w:hAnsi="Century"/>
          <w:sz w:val="24"/>
          <w:szCs w:val="24"/>
        </w:rPr>
        <w:t xml:space="preserve">Payments to resolve extortion payments made to prevent or resolve a threat to network or data. This coverage frequently requires prior consent by an insurer. </w:t>
      </w:r>
    </w:p>
    <w:p w:rsidR="00896F45" w:rsidRPr="00F110B9" w:rsidRDefault="00896F45" w:rsidP="00F110B9">
      <w:pPr>
        <w:pStyle w:val="Level3"/>
        <w:keepNext w:val="0"/>
        <w:spacing w:after="200" w:line="480" w:lineRule="auto"/>
        <w:jc w:val="both"/>
        <w:rPr>
          <w:rFonts w:ascii="Century" w:hAnsi="Century"/>
          <w:sz w:val="24"/>
          <w:szCs w:val="24"/>
        </w:rPr>
      </w:pPr>
      <w:r w:rsidRPr="00F110B9">
        <w:rPr>
          <w:rFonts w:ascii="Century" w:hAnsi="Century"/>
          <w:sz w:val="24"/>
          <w:szCs w:val="24"/>
        </w:rPr>
        <w:t>Data Restoration Costs</w:t>
      </w:r>
    </w:p>
    <w:p w:rsidR="00F21126" w:rsidRPr="007E4CF0" w:rsidRDefault="00252CF2" w:rsidP="00F110B9">
      <w:pPr>
        <w:pStyle w:val="10sp0"/>
        <w:spacing w:after="200" w:line="480" w:lineRule="auto"/>
        <w:jc w:val="both"/>
        <w:rPr>
          <w:rFonts w:ascii="Century" w:hAnsi="Century"/>
          <w:sz w:val="24"/>
          <w:szCs w:val="24"/>
        </w:rPr>
      </w:pPr>
      <w:r w:rsidRPr="007E4CF0">
        <w:rPr>
          <w:rFonts w:ascii="Century" w:hAnsi="Century"/>
          <w:sz w:val="24"/>
          <w:szCs w:val="24"/>
        </w:rPr>
        <w:t xml:space="preserve">Costs to restore or replace data to the contents in place prior to the incident. This frequently raises coverage issues for the difference between replacing content and improvement of newly developed content. </w:t>
      </w:r>
      <w:proofErr w:type="gramStart"/>
      <w:r w:rsidRPr="007E4CF0">
        <w:rPr>
          <w:rFonts w:ascii="Century" w:hAnsi="Century"/>
          <w:sz w:val="24"/>
          <w:szCs w:val="24"/>
        </w:rPr>
        <w:t>Also</w:t>
      </w:r>
      <w:proofErr w:type="gramEnd"/>
      <w:r w:rsidRPr="007E4CF0">
        <w:rPr>
          <w:rFonts w:ascii="Century" w:hAnsi="Century"/>
          <w:sz w:val="24"/>
          <w:szCs w:val="24"/>
        </w:rPr>
        <w:t xml:space="preserve"> necessary to evaluate </w:t>
      </w:r>
      <w:r w:rsidR="007C3C15" w:rsidRPr="007E4CF0">
        <w:rPr>
          <w:rFonts w:ascii="Century" w:hAnsi="Century"/>
          <w:sz w:val="24"/>
          <w:szCs w:val="24"/>
        </w:rPr>
        <w:t xml:space="preserve">is </w:t>
      </w:r>
      <w:r w:rsidRPr="007E4CF0">
        <w:rPr>
          <w:rFonts w:ascii="Century" w:hAnsi="Century"/>
          <w:sz w:val="24"/>
          <w:szCs w:val="24"/>
        </w:rPr>
        <w:t xml:space="preserve">whether remediation or future loss prevention </w:t>
      </w:r>
      <w:r w:rsidR="00F21126" w:rsidRPr="007E4CF0">
        <w:rPr>
          <w:rFonts w:ascii="Century" w:hAnsi="Century"/>
          <w:sz w:val="24"/>
          <w:szCs w:val="24"/>
        </w:rPr>
        <w:t>may be covered under insurance.</w:t>
      </w:r>
    </w:p>
    <w:p w:rsidR="00F21126" w:rsidRPr="00F110B9" w:rsidRDefault="00F21126" w:rsidP="00F110B9">
      <w:pPr>
        <w:pStyle w:val="Level3"/>
        <w:keepNext w:val="0"/>
        <w:spacing w:after="200" w:line="480" w:lineRule="auto"/>
        <w:jc w:val="both"/>
        <w:rPr>
          <w:rFonts w:ascii="Century" w:hAnsi="Century"/>
          <w:sz w:val="24"/>
          <w:szCs w:val="24"/>
        </w:rPr>
      </w:pPr>
      <w:r w:rsidRPr="00F110B9">
        <w:rPr>
          <w:rFonts w:ascii="Century" w:hAnsi="Century"/>
          <w:sz w:val="24"/>
          <w:szCs w:val="24"/>
        </w:rPr>
        <w:t>Wire Transfer/Payment Fraud</w:t>
      </w:r>
    </w:p>
    <w:p w:rsidR="00F21126" w:rsidRPr="00F110B9" w:rsidRDefault="00F21126" w:rsidP="00F110B9">
      <w:pPr>
        <w:pStyle w:val="15sp05"/>
        <w:spacing w:after="200" w:line="480" w:lineRule="auto"/>
        <w:ind w:firstLine="0"/>
        <w:jc w:val="both"/>
        <w:rPr>
          <w:rFonts w:ascii="Century" w:hAnsi="Century"/>
          <w:sz w:val="24"/>
          <w:szCs w:val="24"/>
        </w:rPr>
      </w:pPr>
      <w:r w:rsidRPr="00F110B9">
        <w:rPr>
          <w:rFonts w:ascii="Century" w:hAnsi="Century"/>
          <w:sz w:val="24"/>
          <w:szCs w:val="24"/>
        </w:rPr>
        <w:t>Indemnification for outgoing wire transfers based on fraudulent instructions or spoofed emails that mimic client information and misdirect payments. Coverages often require out of band confirmation prior to payment.</w:t>
      </w:r>
    </w:p>
    <w:p w:rsidR="00EF5465" w:rsidRPr="00F110B9" w:rsidRDefault="00EF5465" w:rsidP="00F110B9">
      <w:pPr>
        <w:pStyle w:val="Level2"/>
        <w:keepNext w:val="0"/>
        <w:spacing w:after="200" w:line="480" w:lineRule="auto"/>
        <w:jc w:val="both"/>
        <w:rPr>
          <w:rFonts w:ascii="Century" w:hAnsi="Century" w:cs="Times New Roman"/>
          <w:sz w:val="24"/>
          <w:szCs w:val="24"/>
        </w:rPr>
      </w:pPr>
      <w:r w:rsidRPr="00F110B9">
        <w:rPr>
          <w:rFonts w:ascii="Century" w:hAnsi="Century" w:cs="Times New Roman"/>
          <w:sz w:val="24"/>
          <w:szCs w:val="24"/>
        </w:rPr>
        <w:t>Common Coverage Issues</w:t>
      </w:r>
    </w:p>
    <w:p w:rsidR="00EF5465" w:rsidRPr="00F110B9" w:rsidRDefault="00EF5465" w:rsidP="00F110B9">
      <w:pPr>
        <w:pStyle w:val="10sp0"/>
        <w:numPr>
          <w:ilvl w:val="0"/>
          <w:numId w:val="16"/>
        </w:numPr>
        <w:spacing w:after="200" w:line="480" w:lineRule="auto"/>
        <w:ind w:left="720" w:hanging="720"/>
        <w:jc w:val="both"/>
        <w:rPr>
          <w:rFonts w:ascii="Century" w:hAnsi="Century"/>
          <w:sz w:val="24"/>
          <w:szCs w:val="24"/>
        </w:rPr>
      </w:pPr>
      <w:r w:rsidRPr="00F110B9">
        <w:rPr>
          <w:rFonts w:ascii="Century" w:hAnsi="Century"/>
          <w:sz w:val="24"/>
          <w:szCs w:val="24"/>
        </w:rPr>
        <w:t>Retroactive Date/Claims Made and Reported Timing Issues</w:t>
      </w:r>
    </w:p>
    <w:p w:rsidR="00EF5465" w:rsidRPr="00F110B9" w:rsidRDefault="00EF5465" w:rsidP="00F110B9">
      <w:pPr>
        <w:pStyle w:val="10sp0"/>
        <w:numPr>
          <w:ilvl w:val="0"/>
          <w:numId w:val="16"/>
        </w:numPr>
        <w:spacing w:after="200" w:line="480" w:lineRule="auto"/>
        <w:ind w:left="720" w:hanging="720"/>
        <w:jc w:val="both"/>
        <w:rPr>
          <w:rFonts w:ascii="Century" w:hAnsi="Century"/>
          <w:sz w:val="24"/>
          <w:szCs w:val="24"/>
        </w:rPr>
      </w:pPr>
      <w:r w:rsidRPr="00F110B9">
        <w:rPr>
          <w:rFonts w:ascii="Century" w:hAnsi="Century"/>
          <w:sz w:val="24"/>
          <w:szCs w:val="24"/>
        </w:rPr>
        <w:t>Notice to Insurer</w:t>
      </w:r>
    </w:p>
    <w:p w:rsidR="00EF5465" w:rsidRPr="00F110B9" w:rsidRDefault="00EF5465" w:rsidP="00F110B9">
      <w:pPr>
        <w:pStyle w:val="10sp0"/>
        <w:numPr>
          <w:ilvl w:val="0"/>
          <w:numId w:val="16"/>
        </w:numPr>
        <w:spacing w:after="200" w:line="480" w:lineRule="auto"/>
        <w:ind w:left="720" w:hanging="720"/>
        <w:jc w:val="both"/>
        <w:rPr>
          <w:rFonts w:ascii="Century" w:hAnsi="Century"/>
          <w:sz w:val="24"/>
          <w:szCs w:val="24"/>
        </w:rPr>
      </w:pPr>
      <w:r w:rsidRPr="00F110B9">
        <w:rPr>
          <w:rFonts w:ascii="Century" w:hAnsi="Century"/>
          <w:sz w:val="24"/>
          <w:szCs w:val="24"/>
        </w:rPr>
        <w:t>Pre-Tender Costs</w:t>
      </w:r>
    </w:p>
    <w:p w:rsidR="00EF5465" w:rsidRPr="00F110B9" w:rsidRDefault="00EF5465" w:rsidP="00F110B9">
      <w:pPr>
        <w:pStyle w:val="10sp0"/>
        <w:numPr>
          <w:ilvl w:val="0"/>
          <w:numId w:val="16"/>
        </w:numPr>
        <w:spacing w:after="200" w:line="480" w:lineRule="auto"/>
        <w:ind w:left="720" w:hanging="720"/>
        <w:jc w:val="both"/>
        <w:rPr>
          <w:rFonts w:ascii="Century" w:hAnsi="Century"/>
          <w:sz w:val="24"/>
          <w:szCs w:val="24"/>
        </w:rPr>
      </w:pPr>
      <w:r w:rsidRPr="00F110B9">
        <w:rPr>
          <w:rFonts w:ascii="Century" w:hAnsi="Century"/>
          <w:sz w:val="24"/>
          <w:szCs w:val="24"/>
        </w:rPr>
        <w:t>Insurer Consent for Incurred Costs</w:t>
      </w:r>
    </w:p>
    <w:p w:rsidR="00EF5465" w:rsidRPr="00F110B9" w:rsidRDefault="00EF5465" w:rsidP="00F110B9">
      <w:pPr>
        <w:pStyle w:val="10sp0"/>
        <w:numPr>
          <w:ilvl w:val="0"/>
          <w:numId w:val="16"/>
        </w:numPr>
        <w:spacing w:after="200" w:line="480" w:lineRule="auto"/>
        <w:ind w:left="720" w:hanging="720"/>
        <w:jc w:val="both"/>
        <w:rPr>
          <w:rFonts w:ascii="Century" w:hAnsi="Century"/>
          <w:sz w:val="24"/>
          <w:szCs w:val="24"/>
        </w:rPr>
      </w:pPr>
      <w:r w:rsidRPr="00F110B9">
        <w:rPr>
          <w:rFonts w:ascii="Century" w:hAnsi="Century"/>
          <w:sz w:val="24"/>
          <w:szCs w:val="24"/>
        </w:rPr>
        <w:lastRenderedPageBreak/>
        <w:t>Reasonableness of Costs Incurred</w:t>
      </w:r>
    </w:p>
    <w:p w:rsidR="00EF5465" w:rsidRPr="00F110B9" w:rsidRDefault="00EF5465" w:rsidP="00F110B9">
      <w:pPr>
        <w:pStyle w:val="10sp0"/>
        <w:numPr>
          <w:ilvl w:val="0"/>
          <w:numId w:val="16"/>
        </w:numPr>
        <w:spacing w:after="200" w:line="480" w:lineRule="auto"/>
        <w:ind w:left="720" w:hanging="720"/>
        <w:jc w:val="both"/>
        <w:rPr>
          <w:rFonts w:ascii="Century" w:hAnsi="Century"/>
          <w:sz w:val="24"/>
          <w:szCs w:val="24"/>
        </w:rPr>
      </w:pPr>
      <w:r w:rsidRPr="00F110B9">
        <w:rPr>
          <w:rFonts w:ascii="Century" w:hAnsi="Century"/>
          <w:sz w:val="24"/>
          <w:szCs w:val="24"/>
        </w:rPr>
        <w:t>Incident Response v. Reputation Protection or Remediation</w:t>
      </w:r>
    </w:p>
    <w:p w:rsidR="00EF5465" w:rsidRPr="00F110B9" w:rsidRDefault="00EF5465" w:rsidP="00F110B9">
      <w:pPr>
        <w:pStyle w:val="10sp0"/>
        <w:numPr>
          <w:ilvl w:val="0"/>
          <w:numId w:val="16"/>
        </w:numPr>
        <w:spacing w:after="200" w:line="480" w:lineRule="auto"/>
        <w:ind w:left="720" w:hanging="720"/>
        <w:jc w:val="both"/>
        <w:rPr>
          <w:rFonts w:ascii="Century" w:hAnsi="Century"/>
          <w:sz w:val="24"/>
          <w:szCs w:val="24"/>
        </w:rPr>
      </w:pPr>
      <w:r w:rsidRPr="00F110B9">
        <w:rPr>
          <w:rFonts w:ascii="Century" w:hAnsi="Century"/>
          <w:sz w:val="24"/>
          <w:szCs w:val="24"/>
        </w:rPr>
        <w:t>Accurate Scope of Loss</w:t>
      </w:r>
    </w:p>
    <w:p w:rsidR="00EF5465" w:rsidRPr="00F110B9" w:rsidRDefault="00EF5465" w:rsidP="00F110B9">
      <w:pPr>
        <w:pStyle w:val="10sp0"/>
        <w:numPr>
          <w:ilvl w:val="0"/>
          <w:numId w:val="16"/>
        </w:numPr>
        <w:spacing w:after="200" w:line="480" w:lineRule="auto"/>
        <w:ind w:left="720" w:hanging="720"/>
        <w:jc w:val="both"/>
        <w:rPr>
          <w:rFonts w:ascii="Century" w:hAnsi="Century"/>
          <w:sz w:val="24"/>
          <w:szCs w:val="24"/>
        </w:rPr>
      </w:pPr>
      <w:r w:rsidRPr="00F110B9">
        <w:rPr>
          <w:rFonts w:ascii="Century" w:hAnsi="Century"/>
          <w:sz w:val="24"/>
          <w:szCs w:val="24"/>
        </w:rPr>
        <w:t>Other Insurance</w:t>
      </w:r>
    </w:p>
    <w:p w:rsidR="00E579C4" w:rsidRPr="00F110B9" w:rsidRDefault="001717BB" w:rsidP="00F110B9">
      <w:pPr>
        <w:pStyle w:val="Level1"/>
        <w:keepNext w:val="0"/>
        <w:spacing w:after="200" w:line="480" w:lineRule="auto"/>
        <w:jc w:val="both"/>
        <w:rPr>
          <w:rFonts w:ascii="Century" w:hAnsi="Century" w:cs="Times New Roman"/>
          <w:sz w:val="24"/>
          <w:szCs w:val="24"/>
        </w:rPr>
      </w:pPr>
      <w:r w:rsidRPr="00F110B9">
        <w:rPr>
          <w:rFonts w:ascii="Century" w:hAnsi="Century" w:cs="Times New Roman"/>
          <w:sz w:val="24"/>
          <w:szCs w:val="24"/>
        </w:rPr>
        <w:t>Balanced Responses</w:t>
      </w:r>
    </w:p>
    <w:p w:rsidR="007D310B" w:rsidRPr="00F110B9" w:rsidRDefault="007D310B" w:rsidP="00F110B9">
      <w:pPr>
        <w:pStyle w:val="Level2"/>
        <w:keepNext w:val="0"/>
        <w:spacing w:after="200" w:line="480" w:lineRule="auto"/>
        <w:jc w:val="both"/>
        <w:rPr>
          <w:rFonts w:ascii="Century" w:hAnsi="Century" w:cs="Times New Roman"/>
          <w:sz w:val="24"/>
          <w:szCs w:val="24"/>
        </w:rPr>
      </w:pPr>
      <w:r w:rsidRPr="00F110B9">
        <w:rPr>
          <w:rFonts w:ascii="Century" w:hAnsi="Century"/>
          <w:sz w:val="24"/>
          <w:szCs w:val="24"/>
        </w:rPr>
        <w:t>Pre-Claim Issues</w:t>
      </w:r>
    </w:p>
    <w:p w:rsidR="007D310B" w:rsidRPr="00F110B9" w:rsidRDefault="007D310B" w:rsidP="00F110B9">
      <w:pPr>
        <w:pStyle w:val="15sp05"/>
        <w:spacing w:after="200" w:line="480" w:lineRule="auto"/>
        <w:ind w:firstLine="0"/>
        <w:jc w:val="both"/>
        <w:rPr>
          <w:rFonts w:ascii="Century" w:hAnsi="Century"/>
          <w:sz w:val="24"/>
          <w:szCs w:val="24"/>
        </w:rPr>
      </w:pPr>
      <w:proofErr w:type="gramStart"/>
      <w:r w:rsidRPr="00F110B9">
        <w:rPr>
          <w:rFonts w:ascii="Century" w:hAnsi="Century"/>
          <w:sz w:val="24"/>
          <w:szCs w:val="24"/>
        </w:rPr>
        <w:t>Generally speaking, the</w:t>
      </w:r>
      <w:proofErr w:type="gramEnd"/>
      <w:r w:rsidRPr="00F110B9">
        <w:rPr>
          <w:rFonts w:ascii="Century" w:hAnsi="Century"/>
          <w:sz w:val="24"/>
          <w:szCs w:val="24"/>
        </w:rPr>
        <w:t xml:space="preserve"> best defense for entities with respect to cyber risks is to follow “best practices” </w:t>
      </w:r>
      <w:r w:rsidR="00940861" w:rsidRPr="00F110B9">
        <w:rPr>
          <w:rFonts w:ascii="Century" w:hAnsi="Century"/>
          <w:sz w:val="24"/>
          <w:szCs w:val="24"/>
        </w:rPr>
        <w:t>such as</w:t>
      </w:r>
      <w:r w:rsidRPr="00F110B9">
        <w:rPr>
          <w:rFonts w:ascii="Century" w:hAnsi="Century"/>
          <w:sz w:val="24"/>
          <w:szCs w:val="24"/>
        </w:rPr>
        <w:t>:</w:t>
      </w:r>
    </w:p>
    <w:p w:rsidR="007D310B" w:rsidRPr="00F110B9" w:rsidRDefault="007D310B" w:rsidP="00F110B9">
      <w:pPr>
        <w:pStyle w:val="Level3"/>
        <w:keepNext w:val="0"/>
        <w:spacing w:after="200" w:line="480" w:lineRule="auto"/>
        <w:jc w:val="both"/>
        <w:rPr>
          <w:rFonts w:ascii="Century" w:hAnsi="Century"/>
          <w:sz w:val="24"/>
          <w:szCs w:val="24"/>
        </w:rPr>
      </w:pPr>
      <w:r w:rsidRPr="00F110B9">
        <w:rPr>
          <w:rFonts w:ascii="Century" w:hAnsi="Century"/>
          <w:sz w:val="24"/>
          <w:szCs w:val="24"/>
        </w:rPr>
        <w:t>Know</w:t>
      </w:r>
      <w:r w:rsidR="00940861" w:rsidRPr="00F110B9">
        <w:rPr>
          <w:rFonts w:ascii="Century" w:hAnsi="Century"/>
          <w:sz w:val="24"/>
          <w:szCs w:val="24"/>
        </w:rPr>
        <w:t>ing</w:t>
      </w:r>
      <w:r w:rsidRPr="00F110B9">
        <w:rPr>
          <w:rFonts w:ascii="Century" w:hAnsi="Century"/>
          <w:sz w:val="24"/>
          <w:szCs w:val="24"/>
        </w:rPr>
        <w:t xml:space="preserve">  Your Data</w:t>
      </w:r>
    </w:p>
    <w:p w:rsidR="007D310B" w:rsidRPr="00F110B9" w:rsidRDefault="007D310B" w:rsidP="00F110B9">
      <w:pPr>
        <w:pStyle w:val="10sp0"/>
        <w:spacing w:after="200" w:line="480" w:lineRule="auto"/>
        <w:jc w:val="both"/>
        <w:rPr>
          <w:rFonts w:ascii="Century" w:hAnsi="Century"/>
          <w:sz w:val="24"/>
          <w:szCs w:val="24"/>
        </w:rPr>
      </w:pPr>
      <w:r w:rsidRPr="00F110B9">
        <w:rPr>
          <w:rFonts w:ascii="Century" w:hAnsi="Century"/>
          <w:sz w:val="24"/>
          <w:szCs w:val="24"/>
        </w:rPr>
        <w:t xml:space="preserve">Identify what information is stored on computer systems and where the data originates.  Sensitive information can include credit card or bank account numbers of customers, usernames and passwords, employee health records, information received from vendors, or other data. </w:t>
      </w:r>
    </w:p>
    <w:p w:rsidR="007D310B" w:rsidRPr="00F110B9" w:rsidRDefault="007D310B" w:rsidP="00F110B9">
      <w:pPr>
        <w:pStyle w:val="Level3"/>
        <w:keepNext w:val="0"/>
        <w:spacing w:after="200" w:line="480" w:lineRule="auto"/>
        <w:jc w:val="both"/>
        <w:rPr>
          <w:rFonts w:ascii="Century" w:hAnsi="Century"/>
          <w:sz w:val="24"/>
          <w:szCs w:val="24"/>
        </w:rPr>
      </w:pPr>
      <w:r w:rsidRPr="00F110B9">
        <w:rPr>
          <w:rFonts w:ascii="Century" w:hAnsi="Century"/>
          <w:sz w:val="24"/>
          <w:szCs w:val="24"/>
        </w:rPr>
        <w:t>Defend</w:t>
      </w:r>
      <w:r w:rsidR="00940861" w:rsidRPr="00F110B9">
        <w:rPr>
          <w:rFonts w:ascii="Century" w:hAnsi="Century"/>
          <w:sz w:val="24"/>
          <w:szCs w:val="24"/>
        </w:rPr>
        <w:t>ing</w:t>
      </w:r>
      <w:r w:rsidRPr="00F110B9">
        <w:rPr>
          <w:rFonts w:ascii="Century" w:hAnsi="Century"/>
          <w:sz w:val="24"/>
          <w:szCs w:val="24"/>
        </w:rPr>
        <w:t xml:space="preserve"> Your Data</w:t>
      </w:r>
    </w:p>
    <w:p w:rsidR="007D310B" w:rsidRPr="007E4CF0" w:rsidRDefault="007D310B" w:rsidP="00F110B9">
      <w:pPr>
        <w:pStyle w:val="10sp0"/>
        <w:spacing w:after="200" w:line="480" w:lineRule="auto"/>
        <w:jc w:val="both"/>
        <w:rPr>
          <w:rFonts w:ascii="Century" w:hAnsi="Century"/>
          <w:sz w:val="24"/>
          <w:szCs w:val="24"/>
        </w:rPr>
      </w:pPr>
      <w:r w:rsidRPr="007E4CF0">
        <w:rPr>
          <w:rFonts w:ascii="Century" w:hAnsi="Century"/>
          <w:sz w:val="24"/>
          <w:szCs w:val="24"/>
        </w:rPr>
        <w:t xml:space="preserve">As entities grow, data is often moved or archived, both on and off site.  To effectively protect this data, there should be periodic reviews where and how that data is stored, including onsite backups and cloud computing. Additional best practices should include: (1) destroying records of information no longer needed; (2) encryption of data stored on company systems; (3) encryption of data being </w:t>
      </w:r>
      <w:r w:rsidRPr="007E4CF0">
        <w:rPr>
          <w:rFonts w:ascii="Century" w:hAnsi="Century"/>
          <w:sz w:val="24"/>
          <w:szCs w:val="24"/>
        </w:rPr>
        <w:lastRenderedPageBreak/>
        <w:t xml:space="preserve">transmitted between your </w:t>
      </w:r>
      <w:r w:rsidR="007C3C15" w:rsidRPr="007E4CF0">
        <w:rPr>
          <w:rFonts w:ascii="Century" w:hAnsi="Century"/>
          <w:sz w:val="24"/>
          <w:szCs w:val="24"/>
        </w:rPr>
        <w:t xml:space="preserve">organization’s </w:t>
      </w:r>
      <w:r w:rsidRPr="007E4CF0">
        <w:rPr>
          <w:rFonts w:ascii="Century" w:hAnsi="Century"/>
          <w:sz w:val="24"/>
          <w:szCs w:val="24"/>
        </w:rPr>
        <w:t xml:space="preserve">computers and any network access points; and (4) data backup </w:t>
      </w:r>
      <w:r w:rsidR="00B4203D" w:rsidRPr="007E4CF0">
        <w:rPr>
          <w:rFonts w:ascii="Century" w:hAnsi="Century"/>
          <w:sz w:val="24"/>
          <w:szCs w:val="24"/>
        </w:rPr>
        <w:t>protocols</w:t>
      </w:r>
      <w:r w:rsidRPr="007E4CF0">
        <w:rPr>
          <w:rFonts w:ascii="Century" w:hAnsi="Century"/>
          <w:sz w:val="24"/>
          <w:szCs w:val="24"/>
        </w:rPr>
        <w:t xml:space="preserve">, including testing backups to make sure they can be utilized in the event of a system failure. </w:t>
      </w:r>
    </w:p>
    <w:p w:rsidR="007D310B" w:rsidRPr="00F110B9" w:rsidRDefault="007D310B" w:rsidP="00F110B9">
      <w:pPr>
        <w:pStyle w:val="Level3"/>
        <w:keepNext w:val="0"/>
        <w:spacing w:after="200" w:line="480" w:lineRule="auto"/>
        <w:jc w:val="both"/>
        <w:rPr>
          <w:rFonts w:ascii="Century" w:hAnsi="Century"/>
          <w:sz w:val="24"/>
          <w:szCs w:val="24"/>
        </w:rPr>
      </w:pPr>
      <w:r w:rsidRPr="00F110B9">
        <w:rPr>
          <w:rFonts w:ascii="Century" w:hAnsi="Century"/>
          <w:sz w:val="24"/>
          <w:szCs w:val="24"/>
        </w:rPr>
        <w:t>Protect</w:t>
      </w:r>
      <w:r w:rsidR="00940861" w:rsidRPr="00F110B9">
        <w:rPr>
          <w:rFonts w:ascii="Century" w:hAnsi="Century"/>
          <w:sz w:val="24"/>
          <w:szCs w:val="24"/>
        </w:rPr>
        <w:t>ing</w:t>
      </w:r>
      <w:r w:rsidRPr="00F110B9">
        <w:rPr>
          <w:rFonts w:ascii="Century" w:hAnsi="Century"/>
          <w:sz w:val="24"/>
          <w:szCs w:val="24"/>
        </w:rPr>
        <w:t xml:space="preserve"> Yourself</w:t>
      </w:r>
    </w:p>
    <w:p w:rsidR="007D310B" w:rsidRPr="007E4CF0" w:rsidRDefault="007D310B" w:rsidP="00F110B9">
      <w:pPr>
        <w:pStyle w:val="10sp0"/>
        <w:spacing w:after="200" w:line="480" w:lineRule="auto"/>
        <w:jc w:val="both"/>
        <w:rPr>
          <w:rFonts w:ascii="Century" w:hAnsi="Century"/>
          <w:sz w:val="24"/>
          <w:szCs w:val="24"/>
        </w:rPr>
      </w:pPr>
      <w:r w:rsidRPr="007E4CF0">
        <w:rPr>
          <w:rFonts w:ascii="Century" w:hAnsi="Century"/>
          <w:sz w:val="24"/>
          <w:szCs w:val="24"/>
        </w:rPr>
        <w:t xml:space="preserve">Employees are often the largest source of security vulnerability for any </w:t>
      </w:r>
      <w:r w:rsidR="007C3C15" w:rsidRPr="007E4CF0">
        <w:rPr>
          <w:rFonts w:ascii="Century" w:hAnsi="Century"/>
          <w:sz w:val="24"/>
          <w:szCs w:val="24"/>
        </w:rPr>
        <w:t>organization</w:t>
      </w:r>
      <w:r w:rsidRPr="007E4CF0">
        <w:rPr>
          <w:rFonts w:ascii="Century" w:hAnsi="Century"/>
          <w:sz w:val="24"/>
          <w:szCs w:val="24"/>
        </w:rPr>
        <w:t xml:space="preserve">.  As a result, </w:t>
      </w:r>
      <w:r w:rsidR="007C3C15" w:rsidRPr="007E4CF0">
        <w:rPr>
          <w:rFonts w:ascii="Century" w:hAnsi="Century"/>
          <w:sz w:val="24"/>
          <w:szCs w:val="24"/>
        </w:rPr>
        <w:t>organizations</w:t>
      </w:r>
      <w:r w:rsidRPr="007E4CF0">
        <w:rPr>
          <w:rFonts w:ascii="Century" w:hAnsi="Century"/>
          <w:sz w:val="24"/>
          <w:szCs w:val="24"/>
        </w:rPr>
        <w:t xml:space="preserve"> should provide employees access only to those systems and information </w:t>
      </w:r>
      <w:r w:rsidR="007C3C15" w:rsidRPr="007E4CF0">
        <w:rPr>
          <w:rFonts w:ascii="Century" w:hAnsi="Century"/>
          <w:sz w:val="24"/>
          <w:szCs w:val="24"/>
        </w:rPr>
        <w:t>which are needed</w:t>
      </w:r>
      <w:r w:rsidRPr="007E4CF0">
        <w:rPr>
          <w:rFonts w:ascii="Century" w:hAnsi="Century"/>
          <w:sz w:val="24"/>
          <w:szCs w:val="24"/>
        </w:rPr>
        <w:t xml:space="preserve"> to do their jobs.  Also, </w:t>
      </w:r>
      <w:r w:rsidR="00364E2F" w:rsidRPr="007E4CF0">
        <w:rPr>
          <w:rFonts w:ascii="Century" w:hAnsi="Century"/>
          <w:sz w:val="24"/>
          <w:szCs w:val="24"/>
        </w:rPr>
        <w:t>organizations</w:t>
      </w:r>
      <w:r w:rsidRPr="007E4CF0">
        <w:rPr>
          <w:rFonts w:ascii="Century" w:hAnsi="Century"/>
          <w:sz w:val="24"/>
          <w:szCs w:val="24"/>
        </w:rPr>
        <w:t xml:space="preserve"> should educate their employees and implement guidelines for technology se</w:t>
      </w:r>
      <w:r w:rsidR="00364E2F" w:rsidRPr="007E4CF0">
        <w:rPr>
          <w:rFonts w:ascii="Century" w:hAnsi="Century"/>
          <w:sz w:val="24"/>
          <w:szCs w:val="24"/>
        </w:rPr>
        <w:t>curity. These security protocol</w:t>
      </w:r>
      <w:r w:rsidRPr="007E4CF0">
        <w:rPr>
          <w:rFonts w:ascii="Century" w:hAnsi="Century"/>
          <w:sz w:val="24"/>
          <w:szCs w:val="24"/>
        </w:rPr>
        <w:t xml:space="preserve">s can include password standards and guidelines on acceptable internet use.  Also, </w:t>
      </w:r>
      <w:r w:rsidR="00364E2F" w:rsidRPr="007E4CF0">
        <w:rPr>
          <w:rFonts w:ascii="Century" w:hAnsi="Century"/>
          <w:sz w:val="24"/>
          <w:szCs w:val="24"/>
        </w:rPr>
        <w:t>organizations</w:t>
      </w:r>
      <w:r w:rsidRPr="007E4CF0">
        <w:rPr>
          <w:rFonts w:ascii="Century" w:hAnsi="Century"/>
          <w:sz w:val="24"/>
          <w:szCs w:val="24"/>
        </w:rPr>
        <w:t xml:space="preserve"> should utilize multiple and overlapping protections to guard against failures in any specific technology or protection method, including: (1) regularly updated firewalls, antivirus, and web security solutions; and (2) ensuring that employees accessing the network remotely install and maintain firewalls on their home systems.</w:t>
      </w:r>
    </w:p>
    <w:p w:rsidR="007D310B" w:rsidRPr="00F110B9" w:rsidRDefault="007D310B" w:rsidP="00F110B9">
      <w:pPr>
        <w:pStyle w:val="Level3"/>
        <w:keepNext w:val="0"/>
        <w:spacing w:after="200" w:line="480" w:lineRule="auto"/>
        <w:jc w:val="both"/>
        <w:rPr>
          <w:rFonts w:ascii="Century" w:hAnsi="Century"/>
          <w:sz w:val="24"/>
          <w:szCs w:val="24"/>
        </w:rPr>
      </w:pPr>
      <w:r w:rsidRPr="00F110B9">
        <w:rPr>
          <w:rFonts w:ascii="Century" w:hAnsi="Century"/>
          <w:sz w:val="24"/>
          <w:szCs w:val="24"/>
        </w:rPr>
        <w:t>Updat</w:t>
      </w:r>
      <w:r w:rsidR="00940861" w:rsidRPr="00F110B9">
        <w:rPr>
          <w:rFonts w:ascii="Century" w:hAnsi="Century"/>
          <w:sz w:val="24"/>
          <w:szCs w:val="24"/>
        </w:rPr>
        <w:t>ing</w:t>
      </w:r>
      <w:r w:rsidRPr="00F110B9">
        <w:rPr>
          <w:rFonts w:ascii="Century" w:hAnsi="Century"/>
          <w:sz w:val="24"/>
          <w:szCs w:val="24"/>
        </w:rPr>
        <w:t xml:space="preserve"> Systems</w:t>
      </w:r>
    </w:p>
    <w:p w:rsidR="007D310B" w:rsidRPr="00F110B9" w:rsidRDefault="007D310B" w:rsidP="00F110B9">
      <w:pPr>
        <w:pStyle w:val="15sp05"/>
        <w:spacing w:after="200" w:line="480" w:lineRule="auto"/>
        <w:ind w:firstLine="0"/>
        <w:jc w:val="both"/>
        <w:rPr>
          <w:rFonts w:ascii="Century" w:hAnsi="Century"/>
          <w:sz w:val="24"/>
          <w:szCs w:val="24"/>
        </w:rPr>
      </w:pPr>
      <w:r w:rsidRPr="00F110B9">
        <w:rPr>
          <w:rFonts w:ascii="Century" w:hAnsi="Century"/>
          <w:sz w:val="24"/>
          <w:szCs w:val="24"/>
        </w:rPr>
        <w:t xml:space="preserve">All operating systems and software should be updated regularly. Any devices that handle sensitive information like payroll or point of sale (POS) functions should be separate from devices that do routine services (i.e. email).  Any banking services should require multi-factor authentication and any fund transfers should be verified by more than one authorized employee.  Employees should not use public or unsecure wireless connections to conduct any company business, such as checking </w:t>
      </w:r>
      <w:r w:rsidRPr="00F110B9">
        <w:rPr>
          <w:rFonts w:ascii="Century" w:hAnsi="Century"/>
          <w:sz w:val="24"/>
          <w:szCs w:val="24"/>
        </w:rPr>
        <w:lastRenderedPageBreak/>
        <w:t>email, unless they are using a secure connection (e.g. corporate VPN access and/or an SSL protected web email server).  Passwords should be changed frequently, and standards for strong passwords for all employees should be enforced.</w:t>
      </w:r>
    </w:p>
    <w:p w:rsidR="007D310B" w:rsidRPr="00F110B9" w:rsidRDefault="00940861" w:rsidP="00F110B9">
      <w:pPr>
        <w:pStyle w:val="Level3"/>
        <w:keepNext w:val="0"/>
        <w:spacing w:after="200" w:line="480" w:lineRule="auto"/>
        <w:jc w:val="both"/>
        <w:rPr>
          <w:rFonts w:ascii="Century" w:hAnsi="Century"/>
          <w:sz w:val="24"/>
          <w:szCs w:val="24"/>
        </w:rPr>
      </w:pPr>
      <w:proofErr w:type="gramStart"/>
      <w:r w:rsidRPr="00F110B9">
        <w:rPr>
          <w:rFonts w:ascii="Century" w:hAnsi="Century"/>
          <w:sz w:val="24"/>
          <w:szCs w:val="24"/>
        </w:rPr>
        <w:t>Making</w:t>
      </w:r>
      <w:r w:rsidR="007D310B" w:rsidRPr="00F110B9">
        <w:rPr>
          <w:rFonts w:ascii="Century" w:hAnsi="Century"/>
          <w:sz w:val="24"/>
          <w:szCs w:val="24"/>
        </w:rPr>
        <w:t xml:space="preserve"> a Plan</w:t>
      </w:r>
      <w:proofErr w:type="gramEnd"/>
    </w:p>
    <w:p w:rsidR="007D310B" w:rsidRPr="00F110B9" w:rsidRDefault="007D310B" w:rsidP="00F110B9">
      <w:pPr>
        <w:pStyle w:val="15sp05"/>
        <w:spacing w:after="200" w:line="480" w:lineRule="auto"/>
        <w:ind w:firstLine="0"/>
        <w:jc w:val="both"/>
        <w:rPr>
          <w:rFonts w:ascii="Century" w:hAnsi="Century"/>
          <w:sz w:val="24"/>
          <w:szCs w:val="24"/>
        </w:rPr>
      </w:pPr>
      <w:r w:rsidRPr="00F110B9">
        <w:rPr>
          <w:rFonts w:ascii="Century" w:hAnsi="Century"/>
          <w:sz w:val="24"/>
          <w:szCs w:val="24"/>
        </w:rPr>
        <w:t>Entities should create a plan for each type of incident they may face which could increase the risk of a network intrusion: i.e. a lost laptop, smart phone or thumb drive with unencrypted data; an external breach, or malware.</w:t>
      </w:r>
    </w:p>
    <w:p w:rsidR="00252CF2" w:rsidRPr="00F110B9" w:rsidRDefault="00252CF2" w:rsidP="00F110B9">
      <w:pPr>
        <w:pStyle w:val="15sp05"/>
        <w:spacing w:after="200" w:line="480" w:lineRule="auto"/>
        <w:ind w:firstLine="0"/>
        <w:jc w:val="both"/>
        <w:rPr>
          <w:rFonts w:ascii="Century" w:hAnsi="Century"/>
          <w:sz w:val="24"/>
          <w:szCs w:val="24"/>
        </w:rPr>
      </w:pPr>
      <w:r w:rsidRPr="00F110B9">
        <w:rPr>
          <w:rFonts w:ascii="Century" w:hAnsi="Century"/>
          <w:sz w:val="24"/>
          <w:szCs w:val="24"/>
        </w:rPr>
        <w:t>If there is an incident, who is tasked with guiding the response? Are there preferred vendors that can be retained and put in place quickly? What is the typical/expected response time for everyone involved in the response?</w:t>
      </w:r>
    </w:p>
    <w:p w:rsidR="00E579C4" w:rsidRPr="00F110B9" w:rsidRDefault="00E579C4" w:rsidP="00F110B9">
      <w:pPr>
        <w:pStyle w:val="Level2"/>
        <w:keepNext w:val="0"/>
        <w:spacing w:after="200" w:line="480" w:lineRule="auto"/>
        <w:jc w:val="both"/>
        <w:rPr>
          <w:rFonts w:ascii="Century" w:hAnsi="Century" w:cs="Times New Roman"/>
          <w:sz w:val="24"/>
          <w:szCs w:val="24"/>
        </w:rPr>
      </w:pPr>
      <w:r w:rsidRPr="00F110B9">
        <w:rPr>
          <w:rFonts w:ascii="Century" w:hAnsi="Century" w:cs="Times New Roman"/>
          <w:sz w:val="24"/>
          <w:szCs w:val="24"/>
        </w:rPr>
        <w:t xml:space="preserve">Properly </w:t>
      </w:r>
      <w:r w:rsidR="00754E8C" w:rsidRPr="00F110B9">
        <w:rPr>
          <w:rFonts w:ascii="Century" w:hAnsi="Century" w:cs="Times New Roman"/>
          <w:sz w:val="24"/>
          <w:szCs w:val="24"/>
        </w:rPr>
        <w:t xml:space="preserve">Addressing/Handling Claims </w:t>
      </w:r>
      <w:proofErr w:type="gramStart"/>
      <w:r w:rsidR="00754E8C" w:rsidRPr="00F110B9">
        <w:rPr>
          <w:rFonts w:ascii="Century" w:hAnsi="Century" w:cs="Times New Roman"/>
          <w:sz w:val="24"/>
          <w:szCs w:val="24"/>
        </w:rPr>
        <w:t>As</w:t>
      </w:r>
      <w:proofErr w:type="gramEnd"/>
      <w:r w:rsidR="00754E8C" w:rsidRPr="00F110B9">
        <w:rPr>
          <w:rFonts w:ascii="Century" w:hAnsi="Century" w:cs="Times New Roman"/>
          <w:sz w:val="24"/>
          <w:szCs w:val="24"/>
        </w:rPr>
        <w:t xml:space="preserve"> They Happen</w:t>
      </w:r>
    </w:p>
    <w:p w:rsidR="00747EFA" w:rsidRPr="00F110B9" w:rsidRDefault="00747EFA" w:rsidP="00F110B9">
      <w:pPr>
        <w:pStyle w:val="Level3"/>
        <w:keepNext w:val="0"/>
        <w:spacing w:after="200" w:line="480" w:lineRule="auto"/>
        <w:jc w:val="both"/>
        <w:rPr>
          <w:rFonts w:ascii="Century" w:hAnsi="Century"/>
          <w:sz w:val="24"/>
          <w:szCs w:val="24"/>
        </w:rPr>
      </w:pPr>
      <w:r w:rsidRPr="00F110B9">
        <w:rPr>
          <w:rFonts w:ascii="Century" w:hAnsi="Century"/>
          <w:sz w:val="24"/>
          <w:szCs w:val="24"/>
        </w:rPr>
        <w:t>Typical Breach Timeline</w:t>
      </w:r>
    </w:p>
    <w:p w:rsidR="00DD1EBA" w:rsidRPr="00F110B9" w:rsidRDefault="00DD1EBA" w:rsidP="00F110B9">
      <w:pPr>
        <w:pStyle w:val="Level4"/>
        <w:keepNext w:val="0"/>
        <w:spacing w:after="200" w:line="480" w:lineRule="auto"/>
        <w:jc w:val="both"/>
        <w:rPr>
          <w:rFonts w:ascii="Century" w:hAnsi="Century"/>
          <w:sz w:val="24"/>
          <w:szCs w:val="24"/>
        </w:rPr>
      </w:pPr>
      <w:r w:rsidRPr="00F110B9">
        <w:rPr>
          <w:rFonts w:ascii="Century" w:hAnsi="Century"/>
          <w:sz w:val="24"/>
          <w:szCs w:val="24"/>
        </w:rPr>
        <w:t>Discovery</w:t>
      </w:r>
    </w:p>
    <w:p w:rsidR="00DD1EBA" w:rsidRPr="00F110B9" w:rsidRDefault="00DD1EBA" w:rsidP="00F110B9">
      <w:pPr>
        <w:pStyle w:val="15sp05"/>
        <w:spacing w:after="200" w:line="480" w:lineRule="auto"/>
        <w:ind w:firstLine="0"/>
        <w:jc w:val="both"/>
        <w:rPr>
          <w:rFonts w:ascii="Century" w:hAnsi="Century"/>
          <w:sz w:val="24"/>
          <w:szCs w:val="24"/>
        </w:rPr>
      </w:pPr>
      <w:r w:rsidRPr="00F110B9">
        <w:rPr>
          <w:rFonts w:ascii="Century" w:hAnsi="Century"/>
          <w:sz w:val="24"/>
          <w:szCs w:val="24"/>
        </w:rPr>
        <w:t>First recognition of an incident and notification within organization. Best practice is to immediately notify insurers and begin internal determination of investigation steps or available resources for investigation.</w:t>
      </w:r>
    </w:p>
    <w:p w:rsidR="00DD1EBA" w:rsidRPr="00F110B9" w:rsidRDefault="00DD1EBA" w:rsidP="00F110B9">
      <w:pPr>
        <w:pStyle w:val="Level4"/>
        <w:keepNext w:val="0"/>
        <w:spacing w:after="200" w:line="480" w:lineRule="auto"/>
        <w:jc w:val="both"/>
        <w:rPr>
          <w:rFonts w:ascii="Century" w:hAnsi="Century"/>
          <w:sz w:val="24"/>
          <w:szCs w:val="24"/>
        </w:rPr>
      </w:pPr>
      <w:r w:rsidRPr="00F110B9">
        <w:rPr>
          <w:rFonts w:ascii="Century" w:hAnsi="Century"/>
          <w:sz w:val="24"/>
          <w:szCs w:val="24"/>
        </w:rPr>
        <w:t>Investigation</w:t>
      </w:r>
    </w:p>
    <w:p w:rsidR="00DD1EBA" w:rsidRPr="00F110B9" w:rsidRDefault="00DD1EBA" w:rsidP="00F110B9">
      <w:pPr>
        <w:pStyle w:val="15sp05"/>
        <w:spacing w:after="200" w:line="480" w:lineRule="auto"/>
        <w:ind w:firstLine="0"/>
        <w:jc w:val="both"/>
        <w:rPr>
          <w:rFonts w:ascii="Century" w:hAnsi="Century"/>
          <w:sz w:val="24"/>
          <w:szCs w:val="24"/>
        </w:rPr>
      </w:pPr>
      <w:r w:rsidRPr="00F110B9">
        <w:rPr>
          <w:rFonts w:ascii="Century" w:hAnsi="Century"/>
          <w:sz w:val="24"/>
          <w:szCs w:val="24"/>
        </w:rPr>
        <w:t xml:space="preserve">If a data breach is likely, privacy counsel should be retained early. Experienced privacy counsel can help manage the investigation and will retain the necessary </w:t>
      </w:r>
      <w:r w:rsidRPr="00F110B9">
        <w:rPr>
          <w:rFonts w:ascii="Century" w:hAnsi="Century"/>
          <w:sz w:val="24"/>
          <w:szCs w:val="24"/>
        </w:rPr>
        <w:lastRenderedPageBreak/>
        <w:t xml:space="preserve">forensic investigators, thereby </w:t>
      </w:r>
      <w:r w:rsidR="00252CF2" w:rsidRPr="00F110B9">
        <w:rPr>
          <w:rFonts w:ascii="Century" w:hAnsi="Century"/>
          <w:sz w:val="24"/>
          <w:szCs w:val="24"/>
        </w:rPr>
        <w:t xml:space="preserve">maintaining privilege for forensic </w:t>
      </w:r>
      <w:r w:rsidRPr="00F110B9">
        <w:rPr>
          <w:rFonts w:ascii="Century" w:hAnsi="Century"/>
          <w:sz w:val="24"/>
          <w:szCs w:val="24"/>
        </w:rPr>
        <w:t>investigation.</w:t>
      </w:r>
      <w:r w:rsidR="00252CF2" w:rsidRPr="00F110B9">
        <w:rPr>
          <w:rFonts w:ascii="Century" w:hAnsi="Century"/>
          <w:sz w:val="24"/>
          <w:szCs w:val="24"/>
        </w:rPr>
        <w:t xml:space="preserve"> </w:t>
      </w:r>
      <w:proofErr w:type="gramStart"/>
      <w:r w:rsidR="00252CF2" w:rsidRPr="00F110B9">
        <w:rPr>
          <w:rFonts w:ascii="Century" w:hAnsi="Century"/>
          <w:sz w:val="24"/>
          <w:szCs w:val="24"/>
        </w:rPr>
        <w:t>Additionally</w:t>
      </w:r>
      <w:proofErr w:type="gramEnd"/>
      <w:r w:rsidR="00252CF2" w:rsidRPr="00F110B9">
        <w:rPr>
          <w:rFonts w:ascii="Century" w:hAnsi="Century"/>
          <w:sz w:val="24"/>
          <w:szCs w:val="24"/>
        </w:rPr>
        <w:t xml:space="preserve"> privacy counsel should be vetted for experience with regulatory compliance in the event government regulators are involved down the road.</w:t>
      </w:r>
    </w:p>
    <w:p w:rsidR="00DD1EBA" w:rsidRPr="00F110B9" w:rsidRDefault="00DD1EBA" w:rsidP="00F110B9">
      <w:pPr>
        <w:pStyle w:val="15sp05"/>
        <w:spacing w:after="200" w:line="480" w:lineRule="auto"/>
        <w:ind w:firstLine="0"/>
        <w:jc w:val="both"/>
        <w:rPr>
          <w:rFonts w:ascii="Century" w:hAnsi="Century"/>
          <w:sz w:val="24"/>
          <w:szCs w:val="24"/>
        </w:rPr>
      </w:pPr>
      <w:r w:rsidRPr="00F110B9">
        <w:rPr>
          <w:rFonts w:ascii="Century" w:hAnsi="Century"/>
          <w:sz w:val="24"/>
          <w:szCs w:val="24"/>
        </w:rPr>
        <w:t>Statements of work from any relevant vendors should be requested ASAP for review and to raise any potential coverage issues early.</w:t>
      </w:r>
    </w:p>
    <w:p w:rsidR="00DD1EBA" w:rsidRPr="00F110B9" w:rsidRDefault="00DD1EBA" w:rsidP="00F110B9">
      <w:pPr>
        <w:pStyle w:val="Level4"/>
        <w:keepNext w:val="0"/>
        <w:spacing w:after="200" w:line="480" w:lineRule="auto"/>
        <w:jc w:val="both"/>
        <w:rPr>
          <w:rFonts w:ascii="Century" w:hAnsi="Century"/>
          <w:sz w:val="24"/>
          <w:szCs w:val="24"/>
        </w:rPr>
      </w:pPr>
      <w:r w:rsidRPr="00F110B9">
        <w:rPr>
          <w:rFonts w:ascii="Century" w:hAnsi="Century"/>
          <w:sz w:val="24"/>
          <w:szCs w:val="24"/>
        </w:rPr>
        <w:t>Coverage Analysis</w:t>
      </w:r>
    </w:p>
    <w:p w:rsidR="00DD1EBA" w:rsidRPr="007E4CF0" w:rsidRDefault="00DD1EBA" w:rsidP="00F110B9">
      <w:pPr>
        <w:pStyle w:val="15sp05"/>
        <w:spacing w:after="200" w:line="480" w:lineRule="auto"/>
        <w:ind w:firstLine="0"/>
        <w:jc w:val="both"/>
        <w:rPr>
          <w:rFonts w:ascii="Century" w:hAnsi="Century"/>
          <w:sz w:val="24"/>
          <w:szCs w:val="24"/>
        </w:rPr>
      </w:pPr>
      <w:r w:rsidRPr="007E4CF0">
        <w:rPr>
          <w:rFonts w:ascii="Century" w:hAnsi="Century"/>
          <w:sz w:val="24"/>
          <w:szCs w:val="24"/>
        </w:rPr>
        <w:t xml:space="preserve">Coverage should be evaluated </w:t>
      </w:r>
      <w:r w:rsidR="00AA35CE" w:rsidRPr="007E4CF0">
        <w:rPr>
          <w:rFonts w:ascii="Century" w:hAnsi="Century"/>
          <w:sz w:val="24"/>
          <w:szCs w:val="24"/>
        </w:rPr>
        <w:t xml:space="preserve">under both cyber and non-cyber coverages as appropriate </w:t>
      </w:r>
      <w:r w:rsidRPr="007E4CF0">
        <w:rPr>
          <w:rFonts w:ascii="Century" w:hAnsi="Century"/>
          <w:sz w:val="24"/>
          <w:szCs w:val="24"/>
        </w:rPr>
        <w:t>as soon as facts are available from investigatio</w:t>
      </w:r>
      <w:r w:rsidR="00252CF2" w:rsidRPr="007E4CF0">
        <w:rPr>
          <w:rFonts w:ascii="Century" w:hAnsi="Century"/>
          <w:sz w:val="24"/>
          <w:szCs w:val="24"/>
        </w:rPr>
        <w:t>n.</w:t>
      </w:r>
      <w:r w:rsidR="00AA35CE" w:rsidRPr="007E4CF0">
        <w:rPr>
          <w:rFonts w:ascii="Century" w:hAnsi="Century"/>
          <w:sz w:val="24"/>
          <w:szCs w:val="24"/>
        </w:rPr>
        <w:t xml:space="preserve">  Also, tender to the appropriate carriers should be made as early as practical pursuant to the notice provisions of the relevant policies.</w:t>
      </w:r>
    </w:p>
    <w:p w:rsidR="00252CF2" w:rsidRPr="007E4CF0" w:rsidRDefault="00252CF2" w:rsidP="00F110B9">
      <w:pPr>
        <w:pStyle w:val="15sp05"/>
        <w:spacing w:after="200" w:line="480" w:lineRule="auto"/>
        <w:ind w:firstLine="0"/>
        <w:jc w:val="both"/>
        <w:rPr>
          <w:rFonts w:ascii="Century" w:hAnsi="Century"/>
          <w:sz w:val="24"/>
          <w:szCs w:val="24"/>
        </w:rPr>
      </w:pPr>
      <w:r w:rsidRPr="007E4CF0">
        <w:rPr>
          <w:rFonts w:ascii="Century" w:hAnsi="Century"/>
          <w:sz w:val="24"/>
          <w:szCs w:val="24"/>
        </w:rPr>
        <w:t>Coverage should address any potential retroactive coverage issues. What if malware was in place before any policies took effect?</w:t>
      </w:r>
    </w:p>
    <w:p w:rsidR="00252CF2" w:rsidRPr="007E4CF0" w:rsidRDefault="00252CF2" w:rsidP="00F110B9">
      <w:pPr>
        <w:pStyle w:val="15sp05"/>
        <w:spacing w:after="200" w:line="480" w:lineRule="auto"/>
        <w:ind w:firstLine="0"/>
        <w:jc w:val="both"/>
        <w:rPr>
          <w:rFonts w:ascii="Century" w:hAnsi="Century"/>
          <w:sz w:val="24"/>
          <w:szCs w:val="24"/>
        </w:rPr>
      </w:pPr>
      <w:r w:rsidRPr="007E4CF0">
        <w:rPr>
          <w:rFonts w:ascii="Century" w:hAnsi="Century"/>
          <w:sz w:val="24"/>
          <w:szCs w:val="24"/>
        </w:rPr>
        <w:t>To what extent is notification covered? Notified individuals? Other organizational clients? If notification is not necessary for all impacted entities will notification services be provided anyway? At whose expense?</w:t>
      </w:r>
    </w:p>
    <w:p w:rsidR="00DD1EBA" w:rsidRPr="00F110B9" w:rsidRDefault="00DD1EBA" w:rsidP="00F110B9">
      <w:pPr>
        <w:pStyle w:val="Level4"/>
        <w:keepNext w:val="0"/>
        <w:spacing w:after="200" w:line="480" w:lineRule="auto"/>
        <w:jc w:val="both"/>
        <w:rPr>
          <w:rFonts w:ascii="Century" w:hAnsi="Century"/>
          <w:sz w:val="24"/>
          <w:szCs w:val="24"/>
        </w:rPr>
      </w:pPr>
      <w:r w:rsidRPr="00F110B9">
        <w:rPr>
          <w:rFonts w:ascii="Century" w:hAnsi="Century"/>
          <w:sz w:val="24"/>
          <w:szCs w:val="24"/>
        </w:rPr>
        <w:t>Notification Obligations</w:t>
      </w:r>
    </w:p>
    <w:p w:rsidR="00252CF2" w:rsidRPr="00F110B9" w:rsidRDefault="00252CF2" w:rsidP="00F110B9">
      <w:pPr>
        <w:pStyle w:val="15sp05"/>
        <w:spacing w:after="200" w:line="480" w:lineRule="auto"/>
        <w:ind w:firstLine="0"/>
        <w:jc w:val="both"/>
        <w:rPr>
          <w:rFonts w:ascii="Century" w:hAnsi="Century"/>
          <w:sz w:val="24"/>
          <w:szCs w:val="24"/>
        </w:rPr>
      </w:pPr>
      <w:r w:rsidRPr="00F110B9">
        <w:rPr>
          <w:rFonts w:ascii="Century" w:hAnsi="Century"/>
          <w:sz w:val="24"/>
          <w:szCs w:val="24"/>
        </w:rPr>
        <w:t xml:space="preserve">Get call center, credit monitoring, and any public relations/crisis management vendors in place for fast response. Any issues with the number of notified individuals should be planned for to ensure efficient responses once notification begins. </w:t>
      </w:r>
    </w:p>
    <w:p w:rsidR="00747EFA" w:rsidRPr="00F110B9" w:rsidRDefault="00DD1EBA" w:rsidP="00F110B9">
      <w:pPr>
        <w:pStyle w:val="Level4"/>
        <w:keepNext w:val="0"/>
        <w:spacing w:after="200" w:line="480" w:lineRule="auto"/>
        <w:jc w:val="both"/>
        <w:rPr>
          <w:rFonts w:ascii="Century" w:hAnsi="Century"/>
          <w:sz w:val="24"/>
          <w:szCs w:val="24"/>
        </w:rPr>
      </w:pPr>
      <w:r w:rsidRPr="00F110B9">
        <w:rPr>
          <w:rFonts w:ascii="Century" w:hAnsi="Century"/>
          <w:sz w:val="24"/>
          <w:szCs w:val="24"/>
        </w:rPr>
        <w:lastRenderedPageBreak/>
        <w:t>Cost Resolution</w:t>
      </w:r>
    </w:p>
    <w:p w:rsidR="00DD1EBA" w:rsidRPr="00F110B9" w:rsidRDefault="00252CF2" w:rsidP="00F110B9">
      <w:pPr>
        <w:pStyle w:val="15sp05"/>
        <w:spacing w:after="200" w:line="480" w:lineRule="auto"/>
        <w:ind w:firstLine="0"/>
        <w:jc w:val="both"/>
        <w:rPr>
          <w:rFonts w:ascii="Century" w:hAnsi="Century"/>
          <w:sz w:val="24"/>
          <w:szCs w:val="24"/>
        </w:rPr>
      </w:pPr>
      <w:r w:rsidRPr="00F110B9">
        <w:rPr>
          <w:rFonts w:ascii="Century" w:hAnsi="Century"/>
          <w:sz w:val="24"/>
          <w:szCs w:val="24"/>
        </w:rPr>
        <w:t>Review invoices from vendors, track amounts based on initial estimates and resolve any retention/excess of limits issues with insurance.</w:t>
      </w:r>
    </w:p>
    <w:p w:rsidR="001717BB" w:rsidRPr="00F110B9" w:rsidRDefault="00754E8C" w:rsidP="00F110B9">
      <w:pPr>
        <w:pStyle w:val="Level2"/>
        <w:keepNext w:val="0"/>
        <w:spacing w:after="200" w:line="480" w:lineRule="auto"/>
        <w:jc w:val="both"/>
        <w:rPr>
          <w:rFonts w:ascii="Century" w:hAnsi="Century" w:cs="Times New Roman"/>
          <w:sz w:val="24"/>
          <w:szCs w:val="24"/>
        </w:rPr>
      </w:pPr>
      <w:r w:rsidRPr="00F110B9">
        <w:rPr>
          <w:rFonts w:ascii="Century" w:hAnsi="Century" w:cs="Times New Roman"/>
          <w:sz w:val="24"/>
          <w:szCs w:val="24"/>
        </w:rPr>
        <w:t>Post Claim Evaluation</w:t>
      </w:r>
    </w:p>
    <w:p w:rsidR="00754E8C" w:rsidRPr="00F110B9" w:rsidRDefault="00754E8C" w:rsidP="00F110B9">
      <w:pPr>
        <w:pStyle w:val="10sp0"/>
        <w:spacing w:after="200" w:line="480" w:lineRule="auto"/>
        <w:jc w:val="both"/>
        <w:rPr>
          <w:rFonts w:ascii="Century" w:hAnsi="Century"/>
          <w:sz w:val="24"/>
          <w:szCs w:val="24"/>
        </w:rPr>
      </w:pPr>
      <w:r w:rsidRPr="00F110B9">
        <w:rPr>
          <w:rFonts w:ascii="Century" w:hAnsi="Century"/>
          <w:sz w:val="24"/>
          <w:szCs w:val="24"/>
        </w:rPr>
        <w:t>Revisit risk assessments and determine improvements. Were pre-claim plans were executed as drawn up? Where improvements possible? What happens the next time there's an issue?</w:t>
      </w:r>
    </w:p>
    <w:p w:rsidR="00C36B3F" w:rsidRDefault="001717BB" w:rsidP="00F110B9">
      <w:pPr>
        <w:pStyle w:val="Level1"/>
        <w:keepNext w:val="0"/>
        <w:spacing w:after="200" w:line="480" w:lineRule="auto"/>
        <w:jc w:val="both"/>
        <w:rPr>
          <w:rFonts w:ascii="Century" w:hAnsi="Century"/>
          <w:sz w:val="24"/>
          <w:szCs w:val="24"/>
        </w:rPr>
      </w:pPr>
      <w:r w:rsidRPr="00F110B9">
        <w:rPr>
          <w:rFonts w:ascii="Century" w:hAnsi="Century"/>
          <w:sz w:val="24"/>
          <w:szCs w:val="24"/>
        </w:rPr>
        <w:t>Questions?</w:t>
      </w:r>
    </w:p>
    <w:p w:rsidR="00754E8C" w:rsidRPr="00F110B9" w:rsidRDefault="00BD1A29" w:rsidP="00BD1A29">
      <w:pPr>
        <w:pStyle w:val="Normal0"/>
        <w:spacing w:before="240"/>
      </w:pPr>
      <w:r w:rsidRPr="00BD1A29">
        <w:rPr>
          <w:noProof/>
          <w:spacing w:val="-2"/>
          <w:sz w:val="16"/>
        </w:rPr>
        <w:t>000003-000005 5675685.1</w:t>
      </w:r>
      <w:r w:rsidR="00C36B3F">
        <w:t xml:space="preserve"> </w:t>
      </w:r>
    </w:p>
    <w:sectPr w:rsidR="00754E8C" w:rsidRPr="00F110B9" w:rsidSect="00A40E5D">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E95" w:rsidRDefault="00104E95" w:rsidP="00104E95">
      <w:pPr>
        <w:spacing w:after="0" w:line="240" w:lineRule="auto"/>
      </w:pPr>
      <w:r>
        <w:separator/>
      </w:r>
    </w:p>
  </w:endnote>
  <w:endnote w:type="continuationSeparator" w:id="0">
    <w:p w:rsidR="00104E95" w:rsidRDefault="00104E95" w:rsidP="00104E95">
      <w:pPr>
        <w:spacing w:after="0" w:line="240" w:lineRule="auto"/>
      </w:pPr>
      <w:r>
        <w:continuationSeparator/>
      </w:r>
    </w:p>
  </w:endnote>
  <w:endnote w:type="continuationNotice" w:id="1">
    <w:p w:rsidR="00853338" w:rsidRDefault="00853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260511"/>
      <w:docPartObj>
        <w:docPartGallery w:val="Page Numbers (Bottom of Page)"/>
        <w:docPartUnique/>
      </w:docPartObj>
    </w:sdtPr>
    <w:sdtEndPr>
      <w:rPr>
        <w:noProof/>
      </w:rPr>
    </w:sdtEndPr>
    <w:sdtContent>
      <w:p w:rsidR="00C36B3F" w:rsidRDefault="00C36B3F">
        <w:pPr>
          <w:pStyle w:val="Footer"/>
          <w:jc w:val="center"/>
        </w:pPr>
        <w:r w:rsidRPr="00C36B3F">
          <w:rPr>
            <w:sz w:val="24"/>
          </w:rPr>
          <w:fldChar w:fldCharType="begin"/>
        </w:r>
        <w:r w:rsidRPr="00C36B3F">
          <w:rPr>
            <w:sz w:val="24"/>
          </w:rPr>
          <w:instrText xml:space="preserve"> PAGE   \* MERGEFORMAT </w:instrText>
        </w:r>
        <w:r w:rsidRPr="00C36B3F">
          <w:rPr>
            <w:sz w:val="24"/>
          </w:rPr>
          <w:fldChar w:fldCharType="separate"/>
        </w:r>
        <w:r w:rsidR="0051016E">
          <w:rPr>
            <w:noProof/>
            <w:sz w:val="24"/>
          </w:rPr>
          <w:t>18</w:t>
        </w:r>
        <w:r w:rsidRPr="00C36B3F">
          <w:rPr>
            <w:noProof/>
            <w:sz w:val="24"/>
          </w:rPr>
          <w:fldChar w:fldCharType="end"/>
        </w:r>
      </w:p>
    </w:sdtContent>
  </w:sdt>
  <w:p w:rsidR="00C36B3F" w:rsidRDefault="00C36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E95" w:rsidRDefault="00104E95" w:rsidP="00104E95">
      <w:pPr>
        <w:spacing w:after="0" w:line="240" w:lineRule="auto"/>
      </w:pPr>
      <w:r>
        <w:separator/>
      </w:r>
    </w:p>
  </w:footnote>
  <w:footnote w:type="continuationSeparator" w:id="0">
    <w:p w:rsidR="00104E95" w:rsidRDefault="00104E95" w:rsidP="00104E95">
      <w:pPr>
        <w:spacing w:after="0" w:line="240" w:lineRule="auto"/>
      </w:pPr>
      <w:r>
        <w:continuationSeparator/>
      </w:r>
    </w:p>
  </w:footnote>
  <w:footnote w:type="continuationNotice" w:id="1">
    <w:p w:rsidR="00853338" w:rsidRDefault="00853338">
      <w:pPr>
        <w:spacing w:after="0" w:line="240" w:lineRule="auto"/>
      </w:pPr>
    </w:p>
  </w:footnote>
  <w:footnote w:id="2">
    <w:p w:rsidR="009157EB" w:rsidRPr="007E4CF0" w:rsidRDefault="009157EB" w:rsidP="009157EB">
      <w:pPr>
        <w:pStyle w:val="EndnoteText"/>
        <w:spacing w:after="120"/>
        <w:jc w:val="both"/>
        <w:rPr>
          <w:rFonts w:ascii="Century Schoolbook" w:hAnsi="Century Schoolbook"/>
          <w:sz w:val="24"/>
          <w:szCs w:val="24"/>
        </w:rPr>
      </w:pPr>
      <w:r w:rsidRPr="007E4CF0">
        <w:rPr>
          <w:rStyle w:val="FootnoteReference"/>
        </w:rPr>
        <w:footnoteRef/>
      </w:r>
      <w:r w:rsidRPr="007E4CF0">
        <w:t xml:space="preserve"> </w:t>
      </w:r>
      <w:r w:rsidRPr="007E4CF0">
        <w:rPr>
          <w:rFonts w:ascii="Century Schoolbook" w:hAnsi="Century Schoolbook"/>
          <w:sz w:val="24"/>
          <w:szCs w:val="24"/>
        </w:rPr>
        <w:t xml:space="preserve">California Civil Code §1798.82 states: </w:t>
      </w:r>
    </w:p>
    <w:p w:rsidR="009157EB" w:rsidRPr="007E4CF0" w:rsidRDefault="009157EB" w:rsidP="009157EB">
      <w:pPr>
        <w:pStyle w:val="EndnoteText"/>
        <w:tabs>
          <w:tab w:val="left" w:pos="720"/>
        </w:tabs>
        <w:spacing w:after="120"/>
        <w:ind w:left="1440" w:hanging="1440"/>
        <w:jc w:val="both"/>
        <w:rPr>
          <w:rFonts w:ascii="Century Schoolbook" w:hAnsi="Century Schoolbook"/>
          <w:sz w:val="24"/>
          <w:szCs w:val="24"/>
        </w:rPr>
      </w:pPr>
      <w:r w:rsidRPr="007E4CF0">
        <w:rPr>
          <w:rFonts w:ascii="Century Schoolbook" w:hAnsi="Century Schoolbook"/>
          <w:sz w:val="24"/>
          <w:szCs w:val="24"/>
        </w:rPr>
        <w:tab/>
        <w:t>(a)</w:t>
      </w:r>
      <w:r w:rsidRPr="007E4CF0">
        <w:rPr>
          <w:rFonts w:ascii="Century Schoolbook" w:hAnsi="Century Schoolbook"/>
          <w:sz w:val="24"/>
          <w:szCs w:val="24"/>
        </w:rPr>
        <w:tab/>
        <w:t>A person or business that conducts business in California, and that owns or licenses computerized data that includes personal information, shall disclose a breach of the security of the system following discovery or notification of the breach in the security of the data to a resident of California whose unencrypted personal information was, or is reasonably believed to have been, acquired by an unauthorized person. The disclosure shall be made in the most expedient time possible and without unreasonable delay, consistent with the legitimate needs of law enforcement, as provided in subdivision (c), or any measures necessary to determine the scope of the breach and restore the reasonable integrity of the data system.</w:t>
      </w:r>
    </w:p>
    <w:p w:rsidR="009157EB" w:rsidRPr="007E4CF0" w:rsidRDefault="009157EB" w:rsidP="009157EB">
      <w:pPr>
        <w:pStyle w:val="EndnoteText"/>
        <w:tabs>
          <w:tab w:val="left" w:pos="720"/>
        </w:tabs>
        <w:spacing w:after="120"/>
        <w:ind w:left="1440" w:hanging="1440"/>
        <w:jc w:val="both"/>
        <w:rPr>
          <w:rFonts w:ascii="Century Schoolbook" w:hAnsi="Century Schoolbook"/>
          <w:sz w:val="24"/>
          <w:szCs w:val="24"/>
        </w:rPr>
      </w:pPr>
      <w:r w:rsidRPr="007E4CF0">
        <w:rPr>
          <w:rFonts w:ascii="Century Schoolbook" w:hAnsi="Century Schoolbook"/>
          <w:sz w:val="24"/>
          <w:szCs w:val="24"/>
        </w:rPr>
        <w:tab/>
        <w:t>(b)</w:t>
      </w:r>
      <w:r w:rsidRPr="007E4CF0">
        <w:rPr>
          <w:rFonts w:ascii="Century Schoolbook" w:hAnsi="Century Schoolbook"/>
          <w:sz w:val="24"/>
          <w:szCs w:val="24"/>
        </w:rPr>
        <w:tab/>
        <w:t>A person or business that maintains computerized data that includes personal information that the person or business does not own shall notify the owner or licensee of the information of the breach of the security of the data immediately following discovery, if the personal information was, or is reasonably believed to have been, acquired by an unauthorized person.</w:t>
      </w:r>
    </w:p>
    <w:p w:rsidR="009157EB" w:rsidRPr="007E4CF0" w:rsidRDefault="009157EB" w:rsidP="009157EB">
      <w:pPr>
        <w:pStyle w:val="EndnoteText"/>
        <w:spacing w:after="120"/>
        <w:jc w:val="both"/>
        <w:rPr>
          <w:rFonts w:ascii="Century Schoolbook" w:hAnsi="Century Schoolbook"/>
          <w:sz w:val="24"/>
          <w:szCs w:val="24"/>
        </w:rPr>
      </w:pPr>
      <w:r w:rsidRPr="007E4CF0">
        <w:rPr>
          <w:rFonts w:ascii="Century Schoolbook" w:hAnsi="Century Schoolbook"/>
          <w:sz w:val="24"/>
          <w:szCs w:val="24"/>
        </w:rPr>
        <w:t xml:space="preserve">While California was the first state to adopt a data security breach notification law, </w:t>
      </w:r>
      <w:r w:rsidR="00853338">
        <w:rPr>
          <w:rFonts w:ascii="Century Schoolbook" w:hAnsi="Century Schoolbook"/>
          <w:sz w:val="24"/>
          <w:szCs w:val="24"/>
        </w:rPr>
        <w:t xml:space="preserve">all 50 </w:t>
      </w:r>
      <w:r w:rsidRPr="007E4CF0">
        <w:rPr>
          <w:rFonts w:ascii="Century Schoolbook" w:hAnsi="Century Schoolbook"/>
          <w:sz w:val="24"/>
          <w:szCs w:val="24"/>
        </w:rPr>
        <w:t>states, the District of Columbia, Guam, Puerto Rico and the Virgin Islands have enacted legislation requiring private or government</w:t>
      </w:r>
      <w:r w:rsidR="00853338">
        <w:rPr>
          <w:rFonts w:ascii="Century Schoolbook" w:hAnsi="Century Schoolbook"/>
          <w:sz w:val="24"/>
          <w:szCs w:val="24"/>
        </w:rPr>
        <w:t>al</w:t>
      </w:r>
      <w:r w:rsidRPr="007E4CF0">
        <w:rPr>
          <w:rFonts w:ascii="Century Schoolbook" w:hAnsi="Century Schoolbook"/>
          <w:sz w:val="24"/>
          <w:szCs w:val="24"/>
        </w:rPr>
        <w:t xml:space="preserve"> entities to notify individuals of security breaches of information involving personally identifiable information. </w:t>
      </w:r>
    </w:p>
    <w:p w:rsidR="009157EB" w:rsidRPr="007E4CF0" w:rsidRDefault="009157EB" w:rsidP="009157EB">
      <w:pPr>
        <w:pStyle w:val="EndnoteText"/>
        <w:spacing w:after="120"/>
        <w:jc w:val="both"/>
        <w:rPr>
          <w:rFonts w:ascii="Century Schoolbook" w:hAnsi="Century Schoolbook"/>
          <w:sz w:val="24"/>
          <w:szCs w:val="24"/>
        </w:rPr>
      </w:pPr>
      <w:r w:rsidRPr="007E4CF0">
        <w:rPr>
          <w:rFonts w:ascii="Century Schoolbook" w:hAnsi="Century Schoolbook"/>
          <w:sz w:val="24"/>
          <w:szCs w:val="24"/>
        </w:rPr>
        <w:t xml:space="preserve">For information regarding the laws of other jurisdictions, see National Conference of State Legislatures, State Security Breach Notification Laws at </w:t>
      </w:r>
      <w:hyperlink r:id="rId1" w:history="1">
        <w:r w:rsidRPr="007E4CF0">
          <w:rPr>
            <w:rStyle w:val="Hyperlink"/>
            <w:rFonts w:ascii="Century Schoolbook" w:hAnsi="Century Schoolbook"/>
            <w:sz w:val="24"/>
            <w:szCs w:val="24"/>
          </w:rPr>
          <w:t>http://www.ncsl.org/research/telecommunications-and-information-technology/security-breach-notification-laws.aspx</w:t>
        </w:r>
      </w:hyperlink>
      <w:r w:rsidRPr="007E4CF0">
        <w:rPr>
          <w:rFonts w:ascii="Century Schoolbook" w:hAnsi="Century Schoolbook"/>
          <w:sz w:val="24"/>
          <w:szCs w:val="24"/>
        </w:rPr>
        <w:t xml:space="preserve">.  (last accessed on </w:t>
      </w:r>
      <w:r w:rsidR="00853338">
        <w:rPr>
          <w:rFonts w:ascii="Century Schoolbook" w:hAnsi="Century Schoolbook"/>
          <w:sz w:val="24"/>
          <w:szCs w:val="24"/>
        </w:rPr>
        <w:t>February 3, 2019</w:t>
      </w:r>
      <w:r w:rsidRPr="007E4CF0">
        <w:rPr>
          <w:rFonts w:ascii="Century Schoolbook" w:hAnsi="Century Schoolbook"/>
          <w:sz w:val="24"/>
          <w:szCs w:val="24"/>
        </w:rPr>
        <w:t xml:space="preserve">).  In addition, a multitude of federal laws and regulations govern the security of all types of sensitive information. </w:t>
      </w:r>
    </w:p>
    <w:p w:rsidR="009157EB" w:rsidRPr="007E4CF0" w:rsidRDefault="009157EB" w:rsidP="009157EB">
      <w:pPr>
        <w:pStyle w:val="FootnoteText"/>
      </w:pPr>
    </w:p>
  </w:footnote>
  <w:footnote w:id="3">
    <w:p w:rsidR="009157EB" w:rsidRPr="0051016E" w:rsidRDefault="009157EB" w:rsidP="009157EB">
      <w:pPr>
        <w:pStyle w:val="FootnoteText"/>
        <w:rPr>
          <w:rFonts w:ascii="Century" w:hAnsi="Century"/>
        </w:rPr>
      </w:pPr>
      <w:r w:rsidRPr="0051016E">
        <w:rPr>
          <w:rStyle w:val="FootnoteReference"/>
        </w:rPr>
        <w:footnoteRef/>
      </w:r>
      <w:r w:rsidRPr="0051016E">
        <w:t xml:space="preserve"> </w:t>
      </w:r>
      <w:r w:rsidRPr="0051016E">
        <w:rPr>
          <w:rFonts w:ascii="Century" w:hAnsi="Century"/>
        </w:rPr>
        <w:t>Civil Code § 1798.82(h)-(i).</w:t>
      </w:r>
    </w:p>
    <w:p w:rsidR="009157EB" w:rsidRPr="0051016E" w:rsidRDefault="009157EB" w:rsidP="009157EB">
      <w:pPr>
        <w:pStyle w:val="FootnoteText"/>
      </w:pPr>
    </w:p>
  </w:footnote>
  <w:footnote w:id="4">
    <w:p w:rsidR="009157EB" w:rsidRPr="0051016E" w:rsidRDefault="009157EB" w:rsidP="009157EB">
      <w:pPr>
        <w:pStyle w:val="FootnoteText"/>
      </w:pPr>
      <w:r w:rsidRPr="0051016E">
        <w:rPr>
          <w:rStyle w:val="FootnoteReference"/>
        </w:rPr>
        <w:footnoteRef/>
      </w:r>
      <w:r w:rsidRPr="0051016E">
        <w:t xml:space="preserve"> </w:t>
      </w:r>
      <w:r w:rsidRPr="0051016E">
        <w:rPr>
          <w:rFonts w:ascii="Century" w:hAnsi="Century"/>
        </w:rPr>
        <w:t>Civil Code §1798.84(b)-(e).</w:t>
      </w:r>
    </w:p>
  </w:footnote>
  <w:footnote w:id="5">
    <w:p w:rsidR="009D4D68" w:rsidRPr="0051016E" w:rsidRDefault="009D4D68" w:rsidP="0051016E">
      <w:pPr>
        <w:pStyle w:val="FootnoteText"/>
        <w:rPr>
          <w:rFonts w:ascii="Century Schoolbook" w:hAnsi="Century Schoolbook"/>
          <w:sz w:val="24"/>
        </w:rPr>
      </w:pPr>
      <w:r w:rsidRPr="007E4CF0">
        <w:rPr>
          <w:rStyle w:val="FootnoteReference"/>
          <w:rFonts w:ascii="Century Schoolbook" w:hAnsi="Century Schoolbook"/>
          <w:sz w:val="24"/>
          <w:szCs w:val="24"/>
        </w:rPr>
        <w:footnoteRef/>
      </w:r>
      <w:r w:rsidRPr="007E4CF0">
        <w:rPr>
          <w:rFonts w:ascii="Century Schoolbook" w:hAnsi="Century Schoolbook"/>
          <w:sz w:val="24"/>
          <w:szCs w:val="24"/>
        </w:rPr>
        <w:t xml:space="preserve"> </w:t>
      </w:r>
      <w:r w:rsidRPr="0051016E">
        <w:rPr>
          <w:rFonts w:ascii="Century Schoolbook" w:hAnsi="Century Schoolbook"/>
          <w:i/>
          <w:sz w:val="24"/>
        </w:rPr>
        <w:t xml:space="preserve">See, e.g., </w:t>
      </w:r>
      <w:r w:rsidRPr="0051016E">
        <w:rPr>
          <w:rFonts w:ascii="Century Schoolbook" w:hAnsi="Century Schoolbook"/>
          <w:sz w:val="24"/>
        </w:rPr>
        <w:t>ISO Form GL 00000173 (defining “property damage” as both  “physical injury to tangible property, including all resulting loss of use of that property’ and “loss of use of tangible property that is not physically injured.”).</w:t>
      </w:r>
    </w:p>
  </w:footnote>
  <w:footnote w:id="6">
    <w:p w:rsidR="009D4D68" w:rsidRPr="0051016E" w:rsidRDefault="009D4D68" w:rsidP="009D4D68">
      <w:pPr>
        <w:pStyle w:val="FootnoteText"/>
        <w:rPr>
          <w:sz w:val="24"/>
          <w:szCs w:val="24"/>
        </w:rPr>
      </w:pPr>
      <w:r w:rsidRPr="0051016E">
        <w:rPr>
          <w:rStyle w:val="FootnoteReference"/>
          <w:sz w:val="24"/>
          <w:szCs w:val="24"/>
        </w:rPr>
        <w:footnoteRef/>
      </w:r>
      <w:r w:rsidRPr="0051016E">
        <w:rPr>
          <w:sz w:val="24"/>
          <w:szCs w:val="24"/>
        </w:rPr>
        <w:t xml:space="preserve"> ISO Form No. CG 00010413 [2012].</w:t>
      </w:r>
    </w:p>
    <w:p w:rsidR="009D4D68" w:rsidRDefault="009D4D68" w:rsidP="009D4D68">
      <w:pPr>
        <w:pStyle w:val="FootnoteText"/>
      </w:pPr>
    </w:p>
  </w:footnote>
  <w:footnote w:id="7">
    <w:p w:rsidR="009D4D68" w:rsidRPr="0051016E" w:rsidRDefault="009D4D68" w:rsidP="0051016E">
      <w:pPr>
        <w:pStyle w:val="FootnoteText"/>
        <w:spacing w:after="240"/>
        <w:rPr>
          <w:rFonts w:ascii="Century Schoolbook" w:hAnsi="Century Schoolbook"/>
          <w:i/>
          <w:sz w:val="24"/>
        </w:rPr>
      </w:pPr>
      <w:r w:rsidRPr="007E4CF0">
        <w:rPr>
          <w:rStyle w:val="FootnoteReference"/>
          <w:rFonts w:ascii="Century Schoolbook" w:hAnsi="Century Schoolbook"/>
          <w:sz w:val="24"/>
          <w:szCs w:val="24"/>
        </w:rPr>
        <w:footnoteRef/>
      </w:r>
      <w:r w:rsidRPr="007E4CF0">
        <w:rPr>
          <w:rFonts w:ascii="Century Schoolbook" w:hAnsi="Century Schoolbook"/>
          <w:sz w:val="24"/>
          <w:szCs w:val="24"/>
        </w:rPr>
        <w:t xml:space="preserve"> </w:t>
      </w:r>
      <w:r w:rsidRPr="0051016E">
        <w:rPr>
          <w:rFonts w:ascii="Century Schoolbook" w:hAnsi="Century Schoolbook"/>
          <w:sz w:val="24"/>
        </w:rPr>
        <w:t xml:space="preserve">The case was appealed, although the appeal was subsequently withdrawn by party stipulation.  </w:t>
      </w:r>
      <w:r w:rsidRPr="0051016E">
        <w:rPr>
          <w:rFonts w:ascii="Century Schoolbook" w:hAnsi="Century Schoolbook"/>
          <w:i/>
          <w:sz w:val="24"/>
        </w:rPr>
        <w:t xml:space="preserve">See Zurich Am. Ins. Co. v. Sony Corp. of Am., </w:t>
      </w:r>
      <w:r w:rsidRPr="0051016E">
        <w:rPr>
          <w:rFonts w:ascii="Century Schoolbook" w:hAnsi="Century Schoolbook"/>
          <w:sz w:val="24"/>
        </w:rPr>
        <w:t>127 A.D.3d 662, 6 N.Y.S.3d 915 (N.Y. App. Div. 2015).</w:t>
      </w:r>
    </w:p>
  </w:footnote>
  <w:footnote w:id="8">
    <w:p w:rsidR="009D4D68" w:rsidRPr="0051016E" w:rsidRDefault="009D4D68" w:rsidP="0051016E">
      <w:pPr>
        <w:pStyle w:val="FootnoteText"/>
        <w:spacing w:after="240"/>
        <w:rPr>
          <w:rFonts w:ascii="Century Schoolbook" w:hAnsi="Century Schoolbook"/>
          <w:sz w:val="24"/>
        </w:rPr>
      </w:pPr>
      <w:r w:rsidRPr="007E4CF0">
        <w:rPr>
          <w:rStyle w:val="FootnoteReference"/>
          <w:rFonts w:ascii="Century Schoolbook" w:hAnsi="Century Schoolbook"/>
          <w:sz w:val="24"/>
          <w:szCs w:val="24"/>
        </w:rPr>
        <w:footnoteRef/>
      </w:r>
      <w:r w:rsidRPr="007E4CF0">
        <w:rPr>
          <w:rFonts w:ascii="Century Schoolbook" w:hAnsi="Century Schoolbook"/>
          <w:sz w:val="24"/>
          <w:szCs w:val="24"/>
        </w:rPr>
        <w:t xml:space="preserve"> </w:t>
      </w:r>
      <w:r w:rsidRPr="0051016E">
        <w:rPr>
          <w:rFonts w:ascii="Century Schoolbook" w:hAnsi="Century Schoolbook"/>
          <w:sz w:val="24"/>
        </w:rPr>
        <w:t>See ISO Form No. CG 21060514 [2014] (policy endorsement form providing “Access Or Disclosure Of Confidential Or Personal Information And Data-related Liability” exclusion precluding coverage for “[d]amages arising out of” “[a]</w:t>
      </w:r>
      <w:r w:rsidRPr="0051016E">
        <w:rPr>
          <w:rFonts w:ascii="Century Schoolbook" w:hAnsi="Century Schoolbook"/>
          <w:sz w:val="24"/>
        </w:rPr>
        <w:t>ny access to or disclosure of any person’s or organization’s confidential or personal information, including patents, trade secrets, processing methods, customer lists, financial information, credit card information or any other type of nonpublic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7CB6B6"/>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E573F9A"/>
    <w:multiLevelType w:val="hybridMultilevel"/>
    <w:tmpl w:val="8A382BEC"/>
    <w:name w:val="Pleading: Appellate Bri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4492"/>
    <w:multiLevelType w:val="hybridMultilevel"/>
    <w:tmpl w:val="C210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C0735"/>
    <w:multiLevelType w:val="multilevel"/>
    <w:tmpl w:val="04090021"/>
    <w:name w:val="Pleading: Appellate Brief2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CD21D1A"/>
    <w:multiLevelType w:val="multilevel"/>
    <w:tmpl w:val="AB706568"/>
    <w:name w:val="Mixed Legal Indented2"/>
    <w:lvl w:ilvl="0">
      <w:start w:val="1"/>
      <w:numFmt w:val="decimal"/>
      <w:lvlRestart w:val="0"/>
      <w:lvlText w:val="%1."/>
      <w:lvlJc w:val="left"/>
      <w:pPr>
        <w:tabs>
          <w:tab w:val="num" w:pos="720"/>
        </w:tabs>
        <w:ind w:left="720" w:hanging="720"/>
      </w:pPr>
      <w:rPr>
        <w:b/>
        <w:i w:val="0"/>
        <w:u w:val="none"/>
      </w:rPr>
    </w:lvl>
    <w:lvl w:ilvl="1">
      <w:start w:val="1"/>
      <w:numFmt w:val="decimal"/>
      <w:isLgl/>
      <w:lvlText w:val="%1.%2"/>
      <w:lvlJc w:val="left"/>
      <w:pPr>
        <w:tabs>
          <w:tab w:val="num" w:pos="1440"/>
        </w:tabs>
        <w:ind w:left="1440" w:hanging="720"/>
      </w:pPr>
      <w:rPr>
        <w:b w:val="0"/>
        <w:i w:val="0"/>
        <w:u w:val="none"/>
      </w:rPr>
    </w:lvl>
    <w:lvl w:ilvl="2">
      <w:start w:val="1"/>
      <w:numFmt w:val="decimal"/>
      <w:isLgl/>
      <w:lvlText w:val="%1.%2.%3"/>
      <w:lvlJc w:val="left"/>
      <w:pPr>
        <w:tabs>
          <w:tab w:val="num" w:pos="2160"/>
        </w:tabs>
        <w:ind w:left="2160" w:hanging="720"/>
      </w:pPr>
      <w:rPr>
        <w:b w:val="0"/>
        <w:i w:val="0"/>
        <w:u w:val="none"/>
      </w:rPr>
    </w:lvl>
    <w:lvl w:ilvl="3">
      <w:start w:val="1"/>
      <w:numFmt w:val="lowerLetter"/>
      <w:lvlText w:val="(%4)"/>
      <w:lvlJc w:val="left"/>
      <w:pPr>
        <w:tabs>
          <w:tab w:val="num" w:pos="2880"/>
        </w:tabs>
        <w:ind w:left="2880" w:hanging="720"/>
      </w:pPr>
      <w:rPr>
        <w:b w:val="0"/>
        <w:i w:val="0"/>
        <w:u w:val="none"/>
      </w:rPr>
    </w:lvl>
    <w:lvl w:ilvl="4">
      <w:start w:val="1"/>
      <w:numFmt w:val="lowerRoman"/>
      <w:lvlText w:val="(%5)"/>
      <w:lvlJc w:val="left"/>
      <w:pPr>
        <w:tabs>
          <w:tab w:val="num" w:pos="3600"/>
        </w:tabs>
        <w:ind w:left="3600" w:hanging="720"/>
      </w:pPr>
      <w:rPr>
        <w:b w:val="0"/>
        <w:i w:val="0"/>
        <w:u w:val="none"/>
      </w:rPr>
    </w:lvl>
    <w:lvl w:ilvl="5">
      <w:start w:val="1"/>
      <w:numFmt w:val="decimal"/>
      <w:lvlText w:val="(%6)"/>
      <w:lvlJc w:val="left"/>
      <w:pPr>
        <w:tabs>
          <w:tab w:val="num" w:pos="4320"/>
        </w:tabs>
        <w:ind w:left="4320" w:hanging="720"/>
      </w:pPr>
      <w:rPr>
        <w:b w:val="0"/>
        <w:i w:val="0"/>
        <w:u w:val="none"/>
      </w:rPr>
    </w:lvl>
    <w:lvl w:ilvl="6">
      <w:start w:val="1"/>
      <w:numFmt w:val="lowerLetter"/>
      <w:lvlText w:val="%7)"/>
      <w:lvlJc w:val="left"/>
      <w:pPr>
        <w:tabs>
          <w:tab w:val="num" w:pos="5040"/>
        </w:tabs>
        <w:ind w:left="5040" w:hanging="720"/>
      </w:pPr>
      <w:rPr>
        <w:b w:val="0"/>
        <w:i w:val="0"/>
        <w:u w:val="none"/>
      </w:rPr>
    </w:lvl>
    <w:lvl w:ilvl="7">
      <w:start w:val="1"/>
      <w:numFmt w:val="lowerRoman"/>
      <w:lvlText w:val="%8)"/>
      <w:lvlJc w:val="left"/>
      <w:pPr>
        <w:tabs>
          <w:tab w:val="num" w:pos="5760"/>
        </w:tabs>
        <w:ind w:left="5760" w:hanging="720"/>
      </w:pPr>
      <w:rPr>
        <w:b w:val="0"/>
        <w:i w:val="0"/>
        <w:u w:val="none"/>
      </w:rPr>
    </w:lvl>
    <w:lvl w:ilvl="8">
      <w:start w:val="1"/>
      <w:numFmt w:val="decimal"/>
      <w:lvlText w:val="%9)"/>
      <w:lvlJc w:val="left"/>
      <w:pPr>
        <w:tabs>
          <w:tab w:val="num" w:pos="6480"/>
        </w:tabs>
        <w:ind w:left="6480" w:hanging="720"/>
      </w:pPr>
      <w:rPr>
        <w:b w:val="0"/>
        <w:i w:val="0"/>
        <w:u w:val="none"/>
      </w:rPr>
    </w:lvl>
  </w:abstractNum>
  <w:abstractNum w:abstractNumId="5" w15:restartNumberingAfterBreak="0">
    <w:nsid w:val="2DEA16EC"/>
    <w:multiLevelType w:val="multilevel"/>
    <w:tmpl w:val="3894D11C"/>
    <w:name w:val="Pleading: Appellate Brief7"/>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i w:val="0"/>
        <w:u w:val="none"/>
      </w:rPr>
    </w:lvl>
    <w:lvl w:ilvl="3">
      <w:start w:val="1"/>
      <w:numFmt w:val="lowerLetter"/>
      <w:lvlText w:val="(%4)"/>
      <w:lvlJc w:val="left"/>
      <w:pPr>
        <w:tabs>
          <w:tab w:val="num" w:pos="2880"/>
        </w:tabs>
        <w:ind w:left="2880" w:hanging="720"/>
      </w:pPr>
      <w:rPr>
        <w:b/>
        <w:i w:val="0"/>
        <w:u w:val="none"/>
      </w:rPr>
    </w:lvl>
    <w:lvl w:ilvl="4">
      <w:start w:val="1"/>
      <w:numFmt w:val="lowerRoman"/>
      <w:lvlText w:val="(%5)"/>
      <w:lvlJc w:val="left"/>
      <w:pPr>
        <w:tabs>
          <w:tab w:val="num" w:pos="3600"/>
        </w:tabs>
        <w:ind w:left="3600" w:hanging="720"/>
      </w:pPr>
      <w:rPr>
        <w:b/>
        <w:i w:val="0"/>
        <w:u w:val="none"/>
      </w:rPr>
    </w:lvl>
    <w:lvl w:ilvl="5">
      <w:start w:val="1"/>
      <w:numFmt w:val="upperLetter"/>
      <w:lvlText w:val="%6)"/>
      <w:lvlJc w:val="left"/>
      <w:pPr>
        <w:tabs>
          <w:tab w:val="num" w:pos="4320"/>
        </w:tabs>
        <w:ind w:left="4320" w:hanging="720"/>
      </w:pPr>
      <w:rPr>
        <w:b/>
        <w:i w:val="0"/>
        <w:u w:val="none"/>
      </w:rPr>
    </w:lvl>
    <w:lvl w:ilvl="6">
      <w:start w:val="1"/>
      <w:numFmt w:val="decimal"/>
      <w:lvlText w:val="%7)"/>
      <w:lvlJc w:val="left"/>
      <w:pPr>
        <w:tabs>
          <w:tab w:val="num" w:pos="5040"/>
        </w:tabs>
        <w:ind w:left="5040" w:hanging="720"/>
      </w:pPr>
      <w:rPr>
        <w:b/>
        <w:i w:val="0"/>
        <w:u w:val="none"/>
      </w:rPr>
    </w:lvl>
    <w:lvl w:ilvl="7">
      <w:start w:val="1"/>
      <w:numFmt w:val="lowerLetter"/>
      <w:lvlText w:val="%8)"/>
      <w:lvlJc w:val="left"/>
      <w:pPr>
        <w:tabs>
          <w:tab w:val="num" w:pos="5760"/>
        </w:tabs>
        <w:ind w:left="5760" w:hanging="720"/>
      </w:pPr>
      <w:rPr>
        <w:b/>
        <w:i w:val="0"/>
        <w:u w:val="none"/>
      </w:rPr>
    </w:lvl>
    <w:lvl w:ilvl="8">
      <w:start w:val="1"/>
      <w:numFmt w:val="lowerRoman"/>
      <w:lvlText w:val="%9)"/>
      <w:lvlJc w:val="left"/>
      <w:pPr>
        <w:tabs>
          <w:tab w:val="num" w:pos="6480"/>
        </w:tabs>
        <w:ind w:left="6480" w:hanging="720"/>
      </w:pPr>
      <w:rPr>
        <w:b/>
        <w:i w:val="0"/>
        <w:color w:val="000000"/>
        <w:u w:val="none"/>
      </w:rPr>
    </w:lvl>
  </w:abstractNum>
  <w:abstractNum w:abstractNumId="6" w15:restartNumberingAfterBreak="0">
    <w:nsid w:val="2F0162A4"/>
    <w:multiLevelType w:val="multilevel"/>
    <w:tmpl w:val="C6E017F0"/>
    <w:name w:val="Pleading: Appellate Brief3"/>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i w:val="0"/>
        <w:u w:val="none"/>
      </w:rPr>
    </w:lvl>
    <w:lvl w:ilvl="3">
      <w:start w:val="1"/>
      <w:numFmt w:val="lowerLetter"/>
      <w:lvlText w:val="(%4)"/>
      <w:lvlJc w:val="left"/>
      <w:pPr>
        <w:tabs>
          <w:tab w:val="num" w:pos="2880"/>
        </w:tabs>
        <w:ind w:left="2880" w:hanging="720"/>
      </w:pPr>
      <w:rPr>
        <w:b/>
        <w:i w:val="0"/>
        <w:u w:val="none"/>
      </w:rPr>
    </w:lvl>
    <w:lvl w:ilvl="4">
      <w:start w:val="1"/>
      <w:numFmt w:val="lowerRoman"/>
      <w:lvlText w:val="(%5)"/>
      <w:lvlJc w:val="left"/>
      <w:pPr>
        <w:tabs>
          <w:tab w:val="num" w:pos="3600"/>
        </w:tabs>
        <w:ind w:left="3600" w:hanging="720"/>
      </w:pPr>
      <w:rPr>
        <w:b/>
        <w:i w:val="0"/>
        <w:u w:val="none"/>
      </w:rPr>
    </w:lvl>
    <w:lvl w:ilvl="5">
      <w:start w:val="1"/>
      <w:numFmt w:val="upperLetter"/>
      <w:lvlText w:val="%6)"/>
      <w:lvlJc w:val="left"/>
      <w:pPr>
        <w:tabs>
          <w:tab w:val="num" w:pos="4320"/>
        </w:tabs>
        <w:ind w:left="4320" w:hanging="720"/>
      </w:pPr>
      <w:rPr>
        <w:b/>
        <w:i w:val="0"/>
        <w:u w:val="none"/>
      </w:rPr>
    </w:lvl>
    <w:lvl w:ilvl="6">
      <w:start w:val="1"/>
      <w:numFmt w:val="decimal"/>
      <w:lvlText w:val="%7)"/>
      <w:lvlJc w:val="left"/>
      <w:pPr>
        <w:tabs>
          <w:tab w:val="num" w:pos="5040"/>
        </w:tabs>
        <w:ind w:left="5040" w:hanging="720"/>
      </w:pPr>
      <w:rPr>
        <w:b/>
        <w:i w:val="0"/>
        <w:u w:val="none"/>
      </w:rPr>
    </w:lvl>
    <w:lvl w:ilvl="7">
      <w:start w:val="1"/>
      <w:numFmt w:val="lowerLetter"/>
      <w:lvlText w:val="%8)"/>
      <w:lvlJc w:val="left"/>
      <w:pPr>
        <w:tabs>
          <w:tab w:val="num" w:pos="5760"/>
        </w:tabs>
        <w:ind w:left="5760" w:hanging="720"/>
      </w:pPr>
      <w:rPr>
        <w:b/>
        <w:i w:val="0"/>
        <w:u w:val="none"/>
      </w:rPr>
    </w:lvl>
    <w:lvl w:ilvl="8">
      <w:start w:val="1"/>
      <w:numFmt w:val="lowerRoman"/>
      <w:lvlText w:val="%9)"/>
      <w:lvlJc w:val="left"/>
      <w:pPr>
        <w:tabs>
          <w:tab w:val="num" w:pos="6480"/>
        </w:tabs>
        <w:ind w:left="6480" w:hanging="720"/>
      </w:pPr>
      <w:rPr>
        <w:b/>
        <w:i w:val="0"/>
        <w:color w:val="000000"/>
        <w:u w:val="none"/>
      </w:rPr>
    </w:lvl>
  </w:abstractNum>
  <w:abstractNum w:abstractNumId="7" w15:restartNumberingAfterBreak="0">
    <w:nsid w:val="311D6284"/>
    <w:multiLevelType w:val="multilevel"/>
    <w:tmpl w:val="CE067410"/>
    <w:name w:val="Pleading: Appellate Brief2"/>
    <w:lvl w:ilvl="0">
      <w:start w:val="1"/>
      <w:numFmt w:val="upperRoman"/>
      <w:lvlRestart w:val="0"/>
      <w:pStyle w:val="Level1"/>
      <w:lvlText w:val="%1."/>
      <w:lvlJc w:val="left"/>
      <w:pPr>
        <w:tabs>
          <w:tab w:val="num" w:pos="720"/>
        </w:tabs>
        <w:ind w:left="720" w:hanging="720"/>
      </w:pPr>
      <w:rPr>
        <w:b/>
        <w:i w:val="0"/>
        <w:u w:val="none"/>
      </w:rPr>
    </w:lvl>
    <w:lvl w:ilvl="1">
      <w:start w:val="1"/>
      <w:numFmt w:val="upperLetter"/>
      <w:pStyle w:val="Level2"/>
      <w:lvlText w:val="%2."/>
      <w:lvlJc w:val="left"/>
      <w:pPr>
        <w:tabs>
          <w:tab w:val="num" w:pos="1440"/>
        </w:tabs>
        <w:ind w:left="1440" w:hanging="720"/>
      </w:pPr>
      <w:rPr>
        <w:b/>
        <w:i w:val="0"/>
        <w:u w:val="none"/>
      </w:rPr>
    </w:lvl>
    <w:lvl w:ilvl="2">
      <w:start w:val="1"/>
      <w:numFmt w:val="decimal"/>
      <w:pStyle w:val="Level3"/>
      <w:lvlText w:val="%3."/>
      <w:lvlJc w:val="left"/>
      <w:pPr>
        <w:tabs>
          <w:tab w:val="num" w:pos="2160"/>
        </w:tabs>
        <w:ind w:left="2160" w:hanging="720"/>
      </w:pPr>
      <w:rPr>
        <w:b/>
        <w:i w:val="0"/>
        <w:sz w:val="24"/>
        <w:szCs w:val="24"/>
        <w:u w:val="none"/>
      </w:rPr>
    </w:lvl>
    <w:lvl w:ilvl="3">
      <w:start w:val="1"/>
      <w:numFmt w:val="lowerLetter"/>
      <w:pStyle w:val="Level4"/>
      <w:lvlText w:val="(%4)"/>
      <w:lvlJc w:val="left"/>
      <w:pPr>
        <w:tabs>
          <w:tab w:val="num" w:pos="2880"/>
        </w:tabs>
        <w:ind w:left="2880" w:hanging="720"/>
      </w:pPr>
      <w:rPr>
        <w:b/>
        <w:i w:val="0"/>
        <w:u w:val="none"/>
      </w:rPr>
    </w:lvl>
    <w:lvl w:ilvl="4">
      <w:start w:val="1"/>
      <w:numFmt w:val="lowerRoman"/>
      <w:pStyle w:val="Level5"/>
      <w:lvlText w:val="(%5)"/>
      <w:lvlJc w:val="left"/>
      <w:pPr>
        <w:tabs>
          <w:tab w:val="num" w:pos="3600"/>
        </w:tabs>
        <w:ind w:left="3600" w:hanging="720"/>
      </w:pPr>
      <w:rPr>
        <w:b/>
        <w:i w:val="0"/>
        <w:u w:val="none"/>
      </w:rPr>
    </w:lvl>
    <w:lvl w:ilvl="5">
      <w:start w:val="1"/>
      <w:numFmt w:val="upperLetter"/>
      <w:pStyle w:val="Level6"/>
      <w:lvlText w:val="%6)"/>
      <w:lvlJc w:val="left"/>
      <w:pPr>
        <w:tabs>
          <w:tab w:val="num" w:pos="4320"/>
        </w:tabs>
        <w:ind w:left="4320" w:hanging="720"/>
      </w:pPr>
      <w:rPr>
        <w:b/>
        <w:i w:val="0"/>
        <w:u w:val="none"/>
      </w:rPr>
    </w:lvl>
    <w:lvl w:ilvl="6">
      <w:start w:val="1"/>
      <w:numFmt w:val="decimal"/>
      <w:pStyle w:val="Level7"/>
      <w:lvlText w:val="%7)"/>
      <w:lvlJc w:val="left"/>
      <w:pPr>
        <w:tabs>
          <w:tab w:val="num" w:pos="5040"/>
        </w:tabs>
        <w:ind w:left="5040" w:hanging="720"/>
      </w:pPr>
      <w:rPr>
        <w:b/>
        <w:i w:val="0"/>
        <w:u w:val="none"/>
      </w:rPr>
    </w:lvl>
    <w:lvl w:ilvl="7">
      <w:start w:val="1"/>
      <w:numFmt w:val="lowerLetter"/>
      <w:pStyle w:val="Level8"/>
      <w:lvlText w:val="%8)"/>
      <w:lvlJc w:val="left"/>
      <w:pPr>
        <w:tabs>
          <w:tab w:val="num" w:pos="5760"/>
        </w:tabs>
        <w:ind w:left="5760" w:hanging="720"/>
      </w:pPr>
      <w:rPr>
        <w:b/>
        <w:i w:val="0"/>
        <w:u w:val="none"/>
      </w:rPr>
    </w:lvl>
    <w:lvl w:ilvl="8">
      <w:start w:val="1"/>
      <w:numFmt w:val="lowerRoman"/>
      <w:pStyle w:val="Level9"/>
      <w:lvlText w:val="%9)"/>
      <w:lvlJc w:val="left"/>
      <w:pPr>
        <w:tabs>
          <w:tab w:val="num" w:pos="6480"/>
        </w:tabs>
        <w:ind w:left="6480" w:hanging="720"/>
      </w:pPr>
      <w:rPr>
        <w:b/>
        <w:i w:val="0"/>
        <w:color w:val="000000"/>
        <w:u w:val="none"/>
      </w:rPr>
    </w:lvl>
  </w:abstractNum>
  <w:abstractNum w:abstractNumId="8" w15:restartNumberingAfterBreak="0">
    <w:nsid w:val="318739E9"/>
    <w:multiLevelType w:val="multilevel"/>
    <w:tmpl w:val="30EAD468"/>
    <w:name w:val="Pleading: Appellate Brief5"/>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i w:val="0"/>
        <w:u w:val="none"/>
      </w:rPr>
    </w:lvl>
    <w:lvl w:ilvl="3">
      <w:start w:val="1"/>
      <w:numFmt w:val="lowerLetter"/>
      <w:lvlText w:val="(%4)"/>
      <w:lvlJc w:val="left"/>
      <w:pPr>
        <w:tabs>
          <w:tab w:val="num" w:pos="2880"/>
        </w:tabs>
        <w:ind w:left="2880" w:hanging="720"/>
      </w:pPr>
      <w:rPr>
        <w:b/>
        <w:i w:val="0"/>
        <w:u w:val="none"/>
      </w:rPr>
    </w:lvl>
    <w:lvl w:ilvl="4">
      <w:start w:val="1"/>
      <w:numFmt w:val="lowerRoman"/>
      <w:lvlText w:val="(%5)"/>
      <w:lvlJc w:val="left"/>
      <w:pPr>
        <w:tabs>
          <w:tab w:val="num" w:pos="3600"/>
        </w:tabs>
        <w:ind w:left="3600" w:hanging="720"/>
      </w:pPr>
      <w:rPr>
        <w:b/>
        <w:i w:val="0"/>
        <w:u w:val="none"/>
      </w:rPr>
    </w:lvl>
    <w:lvl w:ilvl="5">
      <w:start w:val="1"/>
      <w:numFmt w:val="upperLetter"/>
      <w:lvlText w:val="%6)"/>
      <w:lvlJc w:val="left"/>
      <w:pPr>
        <w:tabs>
          <w:tab w:val="num" w:pos="4320"/>
        </w:tabs>
        <w:ind w:left="4320" w:hanging="720"/>
      </w:pPr>
      <w:rPr>
        <w:b/>
        <w:i w:val="0"/>
        <w:u w:val="none"/>
      </w:rPr>
    </w:lvl>
    <w:lvl w:ilvl="6">
      <w:start w:val="1"/>
      <w:numFmt w:val="decimal"/>
      <w:lvlText w:val="%7)"/>
      <w:lvlJc w:val="left"/>
      <w:pPr>
        <w:tabs>
          <w:tab w:val="num" w:pos="5040"/>
        </w:tabs>
        <w:ind w:left="5040" w:hanging="720"/>
      </w:pPr>
      <w:rPr>
        <w:b/>
        <w:i w:val="0"/>
        <w:u w:val="none"/>
      </w:rPr>
    </w:lvl>
    <w:lvl w:ilvl="7">
      <w:start w:val="1"/>
      <w:numFmt w:val="lowerLetter"/>
      <w:lvlText w:val="%8)"/>
      <w:lvlJc w:val="left"/>
      <w:pPr>
        <w:tabs>
          <w:tab w:val="num" w:pos="5760"/>
        </w:tabs>
        <w:ind w:left="5760" w:hanging="720"/>
      </w:pPr>
      <w:rPr>
        <w:b/>
        <w:i w:val="0"/>
        <w:u w:val="none"/>
      </w:rPr>
    </w:lvl>
    <w:lvl w:ilvl="8">
      <w:start w:val="1"/>
      <w:numFmt w:val="lowerRoman"/>
      <w:lvlText w:val="%9)"/>
      <w:lvlJc w:val="left"/>
      <w:pPr>
        <w:tabs>
          <w:tab w:val="num" w:pos="6480"/>
        </w:tabs>
        <w:ind w:left="6480" w:hanging="720"/>
      </w:pPr>
      <w:rPr>
        <w:b/>
        <w:i w:val="0"/>
        <w:color w:val="000000"/>
        <w:u w:val="none"/>
      </w:rPr>
    </w:lvl>
  </w:abstractNum>
  <w:abstractNum w:abstractNumId="9" w15:restartNumberingAfterBreak="0">
    <w:nsid w:val="44F83371"/>
    <w:multiLevelType w:val="multilevel"/>
    <w:tmpl w:val="DCC06AF4"/>
    <w:name w:val="Pleading: Appellate Brief8"/>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i w:val="0"/>
        <w:u w:val="none"/>
      </w:rPr>
    </w:lvl>
    <w:lvl w:ilvl="3">
      <w:start w:val="1"/>
      <w:numFmt w:val="lowerLetter"/>
      <w:lvlText w:val="(%4)"/>
      <w:lvlJc w:val="left"/>
      <w:pPr>
        <w:tabs>
          <w:tab w:val="num" w:pos="2880"/>
        </w:tabs>
        <w:ind w:left="2880" w:hanging="720"/>
      </w:pPr>
      <w:rPr>
        <w:b/>
        <w:i w:val="0"/>
        <w:u w:val="none"/>
      </w:rPr>
    </w:lvl>
    <w:lvl w:ilvl="4">
      <w:start w:val="1"/>
      <w:numFmt w:val="lowerRoman"/>
      <w:lvlText w:val="(%5)"/>
      <w:lvlJc w:val="left"/>
      <w:pPr>
        <w:tabs>
          <w:tab w:val="num" w:pos="3600"/>
        </w:tabs>
        <w:ind w:left="3600" w:hanging="720"/>
      </w:pPr>
      <w:rPr>
        <w:b/>
        <w:i w:val="0"/>
        <w:u w:val="none"/>
      </w:rPr>
    </w:lvl>
    <w:lvl w:ilvl="5">
      <w:start w:val="1"/>
      <w:numFmt w:val="upperLetter"/>
      <w:lvlText w:val="%6)"/>
      <w:lvlJc w:val="left"/>
      <w:pPr>
        <w:tabs>
          <w:tab w:val="num" w:pos="4320"/>
        </w:tabs>
        <w:ind w:left="4320" w:hanging="720"/>
      </w:pPr>
      <w:rPr>
        <w:b/>
        <w:i w:val="0"/>
        <w:u w:val="none"/>
      </w:rPr>
    </w:lvl>
    <w:lvl w:ilvl="6">
      <w:start w:val="1"/>
      <w:numFmt w:val="decimal"/>
      <w:lvlText w:val="%7)"/>
      <w:lvlJc w:val="left"/>
      <w:pPr>
        <w:tabs>
          <w:tab w:val="num" w:pos="5040"/>
        </w:tabs>
        <w:ind w:left="5040" w:hanging="720"/>
      </w:pPr>
      <w:rPr>
        <w:b/>
        <w:i w:val="0"/>
        <w:u w:val="none"/>
      </w:rPr>
    </w:lvl>
    <w:lvl w:ilvl="7">
      <w:start w:val="1"/>
      <w:numFmt w:val="lowerLetter"/>
      <w:lvlText w:val="%8)"/>
      <w:lvlJc w:val="left"/>
      <w:pPr>
        <w:tabs>
          <w:tab w:val="num" w:pos="5760"/>
        </w:tabs>
        <w:ind w:left="5760" w:hanging="720"/>
      </w:pPr>
      <w:rPr>
        <w:b/>
        <w:i w:val="0"/>
        <w:u w:val="none"/>
      </w:rPr>
    </w:lvl>
    <w:lvl w:ilvl="8">
      <w:start w:val="1"/>
      <w:numFmt w:val="lowerRoman"/>
      <w:lvlText w:val="%9)"/>
      <w:lvlJc w:val="left"/>
      <w:pPr>
        <w:tabs>
          <w:tab w:val="num" w:pos="6480"/>
        </w:tabs>
        <w:ind w:left="6480" w:hanging="720"/>
      </w:pPr>
      <w:rPr>
        <w:b/>
        <w:i w:val="0"/>
        <w:color w:val="000000"/>
        <w:u w:val="none"/>
      </w:rPr>
    </w:lvl>
  </w:abstractNum>
  <w:abstractNum w:abstractNumId="10" w15:restartNumberingAfterBreak="0">
    <w:nsid w:val="48FA6230"/>
    <w:multiLevelType w:val="multilevel"/>
    <w:tmpl w:val="552C07CE"/>
    <w:name w:val="Pleading: Brief Centered2"/>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i w:val="0"/>
        <w:u w:val="none"/>
      </w:rPr>
    </w:lvl>
    <w:lvl w:ilvl="3">
      <w:start w:val="1"/>
      <w:numFmt w:val="lowerLetter"/>
      <w:lvlText w:val="(%4)"/>
      <w:lvlJc w:val="left"/>
      <w:pPr>
        <w:tabs>
          <w:tab w:val="num" w:pos="2880"/>
        </w:tabs>
        <w:ind w:left="2880" w:hanging="720"/>
      </w:pPr>
      <w:rPr>
        <w:b/>
        <w:i w:val="0"/>
        <w:u w:val="none"/>
      </w:rPr>
    </w:lvl>
    <w:lvl w:ilvl="4">
      <w:start w:val="1"/>
      <w:numFmt w:val="lowerRoman"/>
      <w:lvlText w:val="(%5)"/>
      <w:lvlJc w:val="left"/>
      <w:pPr>
        <w:tabs>
          <w:tab w:val="num" w:pos="3600"/>
        </w:tabs>
        <w:ind w:left="3600" w:hanging="720"/>
      </w:pPr>
      <w:rPr>
        <w:b/>
        <w:i w:val="0"/>
        <w:u w:val="none"/>
      </w:rPr>
    </w:lvl>
    <w:lvl w:ilvl="5">
      <w:start w:val="1"/>
      <w:numFmt w:val="upperLetter"/>
      <w:lvlText w:val="%6)"/>
      <w:lvlJc w:val="left"/>
      <w:pPr>
        <w:tabs>
          <w:tab w:val="num" w:pos="4320"/>
        </w:tabs>
        <w:ind w:left="4320" w:hanging="720"/>
      </w:pPr>
      <w:rPr>
        <w:b/>
        <w:i w:val="0"/>
        <w:u w:val="none"/>
      </w:rPr>
    </w:lvl>
    <w:lvl w:ilvl="6">
      <w:start w:val="1"/>
      <w:numFmt w:val="decimal"/>
      <w:lvlText w:val="%7)"/>
      <w:lvlJc w:val="left"/>
      <w:pPr>
        <w:tabs>
          <w:tab w:val="num" w:pos="5040"/>
        </w:tabs>
        <w:ind w:left="5040" w:hanging="720"/>
      </w:pPr>
      <w:rPr>
        <w:b/>
        <w:i w:val="0"/>
        <w:u w:val="none"/>
      </w:rPr>
    </w:lvl>
    <w:lvl w:ilvl="7">
      <w:start w:val="1"/>
      <w:numFmt w:val="lowerLetter"/>
      <w:lvlText w:val="%8)"/>
      <w:lvlJc w:val="left"/>
      <w:pPr>
        <w:tabs>
          <w:tab w:val="num" w:pos="5760"/>
        </w:tabs>
        <w:ind w:left="5760" w:hanging="720"/>
      </w:pPr>
      <w:rPr>
        <w:b/>
        <w:i w:val="0"/>
        <w:u w:val="none"/>
      </w:rPr>
    </w:lvl>
    <w:lvl w:ilvl="8">
      <w:start w:val="1"/>
      <w:numFmt w:val="lowerRoman"/>
      <w:lvlText w:val="%9)"/>
      <w:lvlJc w:val="left"/>
      <w:pPr>
        <w:tabs>
          <w:tab w:val="num" w:pos="6480"/>
        </w:tabs>
        <w:ind w:left="6480" w:hanging="720"/>
      </w:pPr>
      <w:rPr>
        <w:b/>
        <w:i w:val="0"/>
        <w:color w:val="000000"/>
        <w:u w:val="none"/>
      </w:rPr>
    </w:lvl>
  </w:abstractNum>
  <w:abstractNum w:abstractNumId="11" w15:restartNumberingAfterBreak="0">
    <w:nsid w:val="509531C3"/>
    <w:multiLevelType w:val="multilevel"/>
    <w:tmpl w:val="7D8AB87A"/>
    <w:name w:val="Pleading: Appellate Brief"/>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i w:val="0"/>
        <w:u w:val="none"/>
      </w:rPr>
    </w:lvl>
    <w:lvl w:ilvl="3">
      <w:start w:val="1"/>
      <w:numFmt w:val="lowerLetter"/>
      <w:lvlText w:val="(%4)"/>
      <w:lvlJc w:val="left"/>
      <w:pPr>
        <w:tabs>
          <w:tab w:val="num" w:pos="2880"/>
        </w:tabs>
        <w:ind w:left="2880" w:hanging="720"/>
      </w:pPr>
      <w:rPr>
        <w:b/>
        <w:i w:val="0"/>
        <w:u w:val="none"/>
      </w:rPr>
    </w:lvl>
    <w:lvl w:ilvl="4">
      <w:start w:val="1"/>
      <w:numFmt w:val="lowerRoman"/>
      <w:lvlText w:val="(%5)"/>
      <w:lvlJc w:val="left"/>
      <w:pPr>
        <w:tabs>
          <w:tab w:val="num" w:pos="3600"/>
        </w:tabs>
        <w:ind w:left="3600" w:hanging="720"/>
      </w:pPr>
      <w:rPr>
        <w:b/>
        <w:i w:val="0"/>
        <w:u w:val="none"/>
      </w:rPr>
    </w:lvl>
    <w:lvl w:ilvl="5">
      <w:start w:val="1"/>
      <w:numFmt w:val="upperLetter"/>
      <w:lvlText w:val="%6)"/>
      <w:lvlJc w:val="left"/>
      <w:pPr>
        <w:tabs>
          <w:tab w:val="num" w:pos="4320"/>
        </w:tabs>
        <w:ind w:left="4320" w:hanging="720"/>
      </w:pPr>
      <w:rPr>
        <w:b/>
        <w:i w:val="0"/>
        <w:u w:val="none"/>
      </w:rPr>
    </w:lvl>
    <w:lvl w:ilvl="6">
      <w:start w:val="1"/>
      <w:numFmt w:val="decimal"/>
      <w:lvlText w:val="%7)"/>
      <w:lvlJc w:val="left"/>
      <w:pPr>
        <w:tabs>
          <w:tab w:val="num" w:pos="5040"/>
        </w:tabs>
        <w:ind w:left="5040" w:hanging="720"/>
      </w:pPr>
      <w:rPr>
        <w:b/>
        <w:i w:val="0"/>
        <w:u w:val="none"/>
      </w:rPr>
    </w:lvl>
    <w:lvl w:ilvl="7">
      <w:start w:val="1"/>
      <w:numFmt w:val="lowerLetter"/>
      <w:lvlText w:val="%8)"/>
      <w:lvlJc w:val="left"/>
      <w:pPr>
        <w:tabs>
          <w:tab w:val="num" w:pos="5760"/>
        </w:tabs>
        <w:ind w:left="5760" w:hanging="720"/>
      </w:pPr>
      <w:rPr>
        <w:b/>
        <w:i w:val="0"/>
        <w:u w:val="none"/>
      </w:rPr>
    </w:lvl>
    <w:lvl w:ilvl="8">
      <w:start w:val="1"/>
      <w:numFmt w:val="lowerRoman"/>
      <w:lvlText w:val="%9)"/>
      <w:lvlJc w:val="left"/>
      <w:pPr>
        <w:tabs>
          <w:tab w:val="num" w:pos="6480"/>
        </w:tabs>
        <w:ind w:left="6480" w:hanging="720"/>
      </w:pPr>
      <w:rPr>
        <w:b/>
        <w:i w:val="0"/>
        <w:color w:val="000000"/>
        <w:u w:val="none"/>
      </w:rPr>
    </w:lvl>
  </w:abstractNum>
  <w:abstractNum w:abstractNumId="12" w15:restartNumberingAfterBreak="0">
    <w:nsid w:val="51C23AD1"/>
    <w:multiLevelType w:val="hybridMultilevel"/>
    <w:tmpl w:val="465A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E45E9"/>
    <w:multiLevelType w:val="multilevel"/>
    <w:tmpl w:val="11B474F8"/>
    <w:name w:val="Pleading: Brief Centered"/>
    <w:lvl w:ilvl="0">
      <w:start w:val="1"/>
      <w:numFmt w:val="upperRoman"/>
      <w:lvlRestart w:val="0"/>
      <w:suff w:val="nothing"/>
      <w:lvlText w:val="%1."/>
      <w:lvlJc w:val="left"/>
      <w:pPr>
        <w:tabs>
          <w:tab w:val="num" w:pos="0"/>
        </w:tabs>
        <w:ind w:left="0" w:firstLine="0"/>
      </w:pPr>
      <w:rPr>
        <w:b/>
        <w:i w:val="0"/>
        <w:u w:val="none"/>
      </w:rPr>
    </w:lvl>
    <w:lvl w:ilvl="1">
      <w:start w:val="1"/>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b/>
        <w:i w:val="0"/>
        <w:u w:val="none"/>
      </w:rPr>
    </w:lvl>
    <w:lvl w:ilvl="3">
      <w:start w:val="1"/>
      <w:numFmt w:val="lowerLetter"/>
      <w:lvlText w:val="(%4)"/>
      <w:lvlJc w:val="left"/>
      <w:pPr>
        <w:tabs>
          <w:tab w:val="num" w:pos="2160"/>
        </w:tabs>
        <w:ind w:left="2160" w:hanging="720"/>
      </w:pPr>
      <w:rPr>
        <w:b/>
        <w:i w:val="0"/>
        <w:u w:val="none"/>
      </w:rPr>
    </w:lvl>
    <w:lvl w:ilvl="4">
      <w:start w:val="1"/>
      <w:numFmt w:val="lowerRoman"/>
      <w:lvlText w:val="(%5)"/>
      <w:lvlJc w:val="left"/>
      <w:pPr>
        <w:tabs>
          <w:tab w:val="num" w:pos="2880"/>
        </w:tabs>
        <w:ind w:left="2880" w:hanging="720"/>
      </w:pPr>
      <w:rPr>
        <w:b/>
        <w:i w:val="0"/>
        <w:u w:val="none"/>
      </w:rPr>
    </w:lvl>
    <w:lvl w:ilvl="5">
      <w:start w:val="1"/>
      <w:numFmt w:val="upperLetter"/>
      <w:lvlText w:val="%6)"/>
      <w:lvlJc w:val="left"/>
      <w:pPr>
        <w:tabs>
          <w:tab w:val="num" w:pos="3600"/>
        </w:tabs>
        <w:ind w:left="3600" w:hanging="720"/>
      </w:pPr>
      <w:rPr>
        <w:b/>
        <w:i w:val="0"/>
        <w:u w:val="none"/>
      </w:rPr>
    </w:lvl>
    <w:lvl w:ilvl="6">
      <w:start w:val="1"/>
      <w:numFmt w:val="decimal"/>
      <w:lvlText w:val="%7)"/>
      <w:lvlJc w:val="left"/>
      <w:pPr>
        <w:tabs>
          <w:tab w:val="num" w:pos="4320"/>
        </w:tabs>
        <w:ind w:left="4320" w:hanging="720"/>
      </w:pPr>
      <w:rPr>
        <w:b/>
        <w:i w:val="0"/>
        <w:u w:val="none"/>
      </w:rPr>
    </w:lvl>
    <w:lvl w:ilvl="7">
      <w:start w:val="1"/>
      <w:numFmt w:val="lowerLetter"/>
      <w:lvlText w:val="%8)"/>
      <w:lvlJc w:val="left"/>
      <w:pPr>
        <w:tabs>
          <w:tab w:val="num" w:pos="5040"/>
        </w:tabs>
        <w:ind w:left="5040" w:hanging="720"/>
      </w:pPr>
      <w:rPr>
        <w:b/>
        <w:i w:val="0"/>
        <w:u w:val="none"/>
      </w:rPr>
    </w:lvl>
    <w:lvl w:ilvl="8">
      <w:start w:val="1"/>
      <w:numFmt w:val="lowerRoman"/>
      <w:lvlText w:val="%9)"/>
      <w:lvlJc w:val="left"/>
      <w:pPr>
        <w:tabs>
          <w:tab w:val="num" w:pos="5760"/>
        </w:tabs>
        <w:ind w:left="5760" w:hanging="720"/>
      </w:pPr>
      <w:rPr>
        <w:b/>
        <w:i w:val="0"/>
        <w:color w:val="000000"/>
        <w:u w:val="none"/>
      </w:rPr>
    </w:lvl>
  </w:abstractNum>
  <w:abstractNum w:abstractNumId="14" w15:restartNumberingAfterBreak="0">
    <w:nsid w:val="6D9E1597"/>
    <w:multiLevelType w:val="multilevel"/>
    <w:tmpl w:val="D5F0D9A6"/>
    <w:name w:val="Pleading 1:  Level 1 Left2"/>
    <w:lvl w:ilvl="0">
      <w:start w:val="1"/>
      <w:numFmt w:val="upperRoman"/>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i w:val="0"/>
        <w:u w:val="none"/>
      </w:rPr>
    </w:lvl>
    <w:lvl w:ilvl="3">
      <w:start w:val="1"/>
      <w:numFmt w:val="lowerLetter"/>
      <w:lvlText w:val="%4."/>
      <w:lvlJc w:val="left"/>
      <w:pPr>
        <w:tabs>
          <w:tab w:val="num" w:pos="2880"/>
        </w:tabs>
        <w:ind w:left="2880" w:hanging="720"/>
      </w:pPr>
      <w:rPr>
        <w:b/>
        <w:i w:val="0"/>
        <w:u w:val="none"/>
      </w:rPr>
    </w:lvl>
    <w:lvl w:ilvl="4">
      <w:start w:val="1"/>
      <w:numFmt w:val="lowerRoman"/>
      <w:lvlText w:val="(%5)"/>
      <w:lvlJc w:val="left"/>
      <w:pPr>
        <w:tabs>
          <w:tab w:val="num" w:pos="3600"/>
        </w:tabs>
        <w:ind w:left="3600" w:hanging="720"/>
      </w:pPr>
      <w:rPr>
        <w:b w:val="0"/>
        <w:i w:val="0"/>
        <w:u w:val="none"/>
      </w:rPr>
    </w:lvl>
    <w:lvl w:ilvl="5">
      <w:start w:val="1"/>
      <w:numFmt w:val="upperLetter"/>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decimal"/>
      <w:lvlText w:val="%9."/>
      <w:lvlJc w:val="left"/>
      <w:pPr>
        <w:tabs>
          <w:tab w:val="num" w:pos="1440"/>
        </w:tabs>
        <w:ind w:left="0" w:firstLine="720"/>
      </w:pPr>
      <w:rPr>
        <w:b w:val="0"/>
        <w:i w:val="0"/>
        <w:u w:val="none"/>
      </w:rPr>
    </w:lvl>
  </w:abstractNum>
  <w:abstractNum w:abstractNumId="15" w15:restartNumberingAfterBreak="0">
    <w:nsid w:val="6E934FBB"/>
    <w:multiLevelType w:val="multilevel"/>
    <w:tmpl w:val="31D88BE4"/>
    <w:name w:val="Pleading: Appellate Brief6"/>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i w:val="0"/>
        <w:u w:val="none"/>
      </w:rPr>
    </w:lvl>
    <w:lvl w:ilvl="3">
      <w:start w:val="1"/>
      <w:numFmt w:val="lowerLetter"/>
      <w:lvlText w:val="(%4)"/>
      <w:lvlJc w:val="left"/>
      <w:pPr>
        <w:tabs>
          <w:tab w:val="num" w:pos="2880"/>
        </w:tabs>
        <w:ind w:left="2880" w:hanging="720"/>
      </w:pPr>
      <w:rPr>
        <w:b/>
        <w:i w:val="0"/>
        <w:u w:val="none"/>
      </w:rPr>
    </w:lvl>
    <w:lvl w:ilvl="4">
      <w:start w:val="1"/>
      <w:numFmt w:val="lowerRoman"/>
      <w:lvlText w:val="(%5)"/>
      <w:lvlJc w:val="left"/>
      <w:pPr>
        <w:tabs>
          <w:tab w:val="num" w:pos="3600"/>
        </w:tabs>
        <w:ind w:left="3600" w:hanging="720"/>
      </w:pPr>
      <w:rPr>
        <w:b/>
        <w:i w:val="0"/>
        <w:u w:val="none"/>
      </w:rPr>
    </w:lvl>
    <w:lvl w:ilvl="5">
      <w:start w:val="1"/>
      <w:numFmt w:val="upperLetter"/>
      <w:lvlText w:val="%6)"/>
      <w:lvlJc w:val="left"/>
      <w:pPr>
        <w:tabs>
          <w:tab w:val="num" w:pos="4320"/>
        </w:tabs>
        <w:ind w:left="4320" w:hanging="720"/>
      </w:pPr>
      <w:rPr>
        <w:b/>
        <w:i w:val="0"/>
        <w:u w:val="none"/>
      </w:rPr>
    </w:lvl>
    <w:lvl w:ilvl="6">
      <w:start w:val="1"/>
      <w:numFmt w:val="decimal"/>
      <w:lvlText w:val="%7)"/>
      <w:lvlJc w:val="left"/>
      <w:pPr>
        <w:tabs>
          <w:tab w:val="num" w:pos="5040"/>
        </w:tabs>
        <w:ind w:left="5040" w:hanging="720"/>
      </w:pPr>
      <w:rPr>
        <w:b/>
        <w:i w:val="0"/>
        <w:u w:val="none"/>
      </w:rPr>
    </w:lvl>
    <w:lvl w:ilvl="7">
      <w:start w:val="1"/>
      <w:numFmt w:val="lowerLetter"/>
      <w:lvlText w:val="%8)"/>
      <w:lvlJc w:val="left"/>
      <w:pPr>
        <w:tabs>
          <w:tab w:val="num" w:pos="5760"/>
        </w:tabs>
        <w:ind w:left="5760" w:hanging="720"/>
      </w:pPr>
      <w:rPr>
        <w:b/>
        <w:i w:val="0"/>
        <w:u w:val="none"/>
      </w:rPr>
    </w:lvl>
    <w:lvl w:ilvl="8">
      <w:start w:val="1"/>
      <w:numFmt w:val="lowerRoman"/>
      <w:lvlText w:val="%9)"/>
      <w:lvlJc w:val="left"/>
      <w:pPr>
        <w:tabs>
          <w:tab w:val="num" w:pos="6480"/>
        </w:tabs>
        <w:ind w:left="6480" w:hanging="720"/>
      </w:pPr>
      <w:rPr>
        <w:b/>
        <w:i w:val="0"/>
        <w:color w:val="000000"/>
        <w:u w:val="none"/>
      </w:rPr>
    </w:lvl>
  </w:abstractNum>
  <w:abstractNum w:abstractNumId="16" w15:restartNumberingAfterBreak="0">
    <w:nsid w:val="714827F9"/>
    <w:multiLevelType w:val="multilevel"/>
    <w:tmpl w:val="CB02B646"/>
    <w:name w:val="Pleading: Appellate Brief4"/>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i w:val="0"/>
        <w:u w:val="none"/>
      </w:rPr>
    </w:lvl>
    <w:lvl w:ilvl="3">
      <w:start w:val="1"/>
      <w:numFmt w:val="lowerLetter"/>
      <w:lvlText w:val="(%4)"/>
      <w:lvlJc w:val="left"/>
      <w:pPr>
        <w:tabs>
          <w:tab w:val="num" w:pos="2880"/>
        </w:tabs>
        <w:ind w:left="2880" w:hanging="720"/>
      </w:pPr>
      <w:rPr>
        <w:b/>
        <w:i w:val="0"/>
        <w:u w:val="none"/>
      </w:rPr>
    </w:lvl>
    <w:lvl w:ilvl="4">
      <w:start w:val="1"/>
      <w:numFmt w:val="lowerRoman"/>
      <w:lvlText w:val="(%5)"/>
      <w:lvlJc w:val="left"/>
      <w:pPr>
        <w:tabs>
          <w:tab w:val="num" w:pos="3600"/>
        </w:tabs>
        <w:ind w:left="3600" w:hanging="720"/>
      </w:pPr>
      <w:rPr>
        <w:b/>
        <w:i w:val="0"/>
        <w:u w:val="none"/>
      </w:rPr>
    </w:lvl>
    <w:lvl w:ilvl="5">
      <w:start w:val="1"/>
      <w:numFmt w:val="upperLetter"/>
      <w:lvlText w:val="%6)"/>
      <w:lvlJc w:val="left"/>
      <w:pPr>
        <w:tabs>
          <w:tab w:val="num" w:pos="4320"/>
        </w:tabs>
        <w:ind w:left="4320" w:hanging="720"/>
      </w:pPr>
      <w:rPr>
        <w:b/>
        <w:i w:val="0"/>
        <w:u w:val="none"/>
      </w:rPr>
    </w:lvl>
    <w:lvl w:ilvl="6">
      <w:start w:val="1"/>
      <w:numFmt w:val="decimal"/>
      <w:lvlText w:val="%7)"/>
      <w:lvlJc w:val="left"/>
      <w:pPr>
        <w:tabs>
          <w:tab w:val="num" w:pos="5040"/>
        </w:tabs>
        <w:ind w:left="5040" w:hanging="720"/>
      </w:pPr>
      <w:rPr>
        <w:b/>
        <w:i w:val="0"/>
        <w:u w:val="none"/>
      </w:rPr>
    </w:lvl>
    <w:lvl w:ilvl="7">
      <w:start w:val="1"/>
      <w:numFmt w:val="lowerLetter"/>
      <w:lvlText w:val="%8)"/>
      <w:lvlJc w:val="left"/>
      <w:pPr>
        <w:tabs>
          <w:tab w:val="num" w:pos="5760"/>
        </w:tabs>
        <w:ind w:left="5760" w:hanging="720"/>
      </w:pPr>
      <w:rPr>
        <w:b/>
        <w:i w:val="0"/>
        <w:u w:val="none"/>
      </w:rPr>
    </w:lvl>
    <w:lvl w:ilvl="8">
      <w:start w:val="1"/>
      <w:numFmt w:val="lowerRoman"/>
      <w:lvlText w:val="%9)"/>
      <w:lvlJc w:val="left"/>
      <w:pPr>
        <w:tabs>
          <w:tab w:val="num" w:pos="6480"/>
        </w:tabs>
        <w:ind w:left="6480" w:hanging="720"/>
      </w:pPr>
      <w:rPr>
        <w:b/>
        <w:i w:val="0"/>
        <w:color w:val="000000"/>
        <w:u w:val="none"/>
      </w:rPr>
    </w:lvl>
  </w:abstractNum>
  <w:abstractNum w:abstractNumId="17" w15:restartNumberingAfterBreak="0">
    <w:nsid w:val="7C371EC7"/>
    <w:multiLevelType w:val="multilevel"/>
    <w:tmpl w:val="69A42D9C"/>
    <w:name w:val="Pleading: Appellate Brief9"/>
    <w:lvl w:ilvl="0">
      <w:start w:val="1"/>
      <w:numFmt w:val="upperRoman"/>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i w:val="0"/>
        <w:u w:val="none"/>
      </w:rPr>
    </w:lvl>
    <w:lvl w:ilvl="2">
      <w:start w:val="1"/>
      <w:numFmt w:val="decimal"/>
      <w:lvlText w:val="%3."/>
      <w:lvlJc w:val="left"/>
      <w:pPr>
        <w:tabs>
          <w:tab w:val="num" w:pos="2160"/>
        </w:tabs>
        <w:ind w:left="2160" w:hanging="720"/>
      </w:pPr>
      <w:rPr>
        <w:b/>
        <w:i w:val="0"/>
        <w:u w:val="none"/>
      </w:rPr>
    </w:lvl>
    <w:lvl w:ilvl="3">
      <w:start w:val="1"/>
      <w:numFmt w:val="lowerLetter"/>
      <w:lvlText w:val="(%4)"/>
      <w:lvlJc w:val="left"/>
      <w:pPr>
        <w:tabs>
          <w:tab w:val="num" w:pos="2880"/>
        </w:tabs>
        <w:ind w:left="2880" w:hanging="720"/>
      </w:pPr>
      <w:rPr>
        <w:b/>
        <w:i w:val="0"/>
        <w:u w:val="none"/>
      </w:rPr>
    </w:lvl>
    <w:lvl w:ilvl="4">
      <w:start w:val="1"/>
      <w:numFmt w:val="lowerRoman"/>
      <w:lvlText w:val="(%5)"/>
      <w:lvlJc w:val="left"/>
      <w:pPr>
        <w:tabs>
          <w:tab w:val="num" w:pos="3600"/>
        </w:tabs>
        <w:ind w:left="3600" w:hanging="720"/>
      </w:pPr>
      <w:rPr>
        <w:b/>
        <w:i w:val="0"/>
        <w:u w:val="none"/>
      </w:rPr>
    </w:lvl>
    <w:lvl w:ilvl="5">
      <w:start w:val="1"/>
      <w:numFmt w:val="upperLetter"/>
      <w:lvlText w:val="%6)"/>
      <w:lvlJc w:val="left"/>
      <w:pPr>
        <w:tabs>
          <w:tab w:val="num" w:pos="4320"/>
        </w:tabs>
        <w:ind w:left="4320" w:hanging="720"/>
      </w:pPr>
      <w:rPr>
        <w:b/>
        <w:i w:val="0"/>
        <w:u w:val="none"/>
      </w:rPr>
    </w:lvl>
    <w:lvl w:ilvl="6">
      <w:start w:val="1"/>
      <w:numFmt w:val="decimal"/>
      <w:lvlText w:val="%7)"/>
      <w:lvlJc w:val="left"/>
      <w:pPr>
        <w:tabs>
          <w:tab w:val="num" w:pos="5040"/>
        </w:tabs>
        <w:ind w:left="5040" w:hanging="720"/>
      </w:pPr>
      <w:rPr>
        <w:b/>
        <w:i w:val="0"/>
        <w:u w:val="none"/>
      </w:rPr>
    </w:lvl>
    <w:lvl w:ilvl="7">
      <w:start w:val="1"/>
      <w:numFmt w:val="lowerLetter"/>
      <w:lvlText w:val="%8)"/>
      <w:lvlJc w:val="left"/>
      <w:pPr>
        <w:tabs>
          <w:tab w:val="num" w:pos="5760"/>
        </w:tabs>
        <w:ind w:left="5760" w:hanging="720"/>
      </w:pPr>
      <w:rPr>
        <w:b/>
        <w:i w:val="0"/>
        <w:u w:val="none"/>
      </w:rPr>
    </w:lvl>
    <w:lvl w:ilvl="8">
      <w:start w:val="1"/>
      <w:numFmt w:val="lowerRoman"/>
      <w:lvlText w:val="%9)"/>
      <w:lvlJc w:val="left"/>
      <w:pPr>
        <w:tabs>
          <w:tab w:val="num" w:pos="6480"/>
        </w:tabs>
        <w:ind w:left="6480" w:hanging="720"/>
      </w:pPr>
      <w:rPr>
        <w:b/>
        <w:i w:val="0"/>
        <w:color w:val="000000"/>
        <w:u w:val="none"/>
      </w:rPr>
    </w:lvl>
  </w:abstractNum>
  <w:num w:numId="1">
    <w:abstractNumId w:val="13"/>
  </w:num>
  <w:num w:numId="2">
    <w:abstractNumId w:val="10"/>
  </w:num>
  <w:num w:numId="3">
    <w:abstractNumId w:val="11"/>
  </w:num>
  <w:num w:numId="4">
    <w:abstractNumId w:val="7"/>
  </w:num>
  <w:num w:numId="5">
    <w:abstractNumId w:val="6"/>
  </w:num>
  <w:num w:numId="6">
    <w:abstractNumId w:val="16"/>
  </w:num>
  <w:num w:numId="7">
    <w:abstractNumId w:val="8"/>
  </w:num>
  <w:num w:numId="8">
    <w:abstractNumId w:val="15"/>
  </w:num>
  <w:num w:numId="9">
    <w:abstractNumId w:val="5"/>
  </w:num>
  <w:num w:numId="10">
    <w:abstractNumId w:val="9"/>
  </w:num>
  <w:num w:numId="11">
    <w:abstractNumId w:val="17"/>
  </w:num>
  <w:num w:numId="12">
    <w:abstractNumId w:val="12"/>
  </w:num>
  <w:num w:numId="13">
    <w:abstractNumId w:val="4"/>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DocType" w:val="CORR"/>
    <w:docVar w:name="DMSVersion" w:val="1"/>
  </w:docVars>
  <w:rsids>
    <w:rsidRoot w:val="00E579C4"/>
    <w:rsid w:val="000140F6"/>
    <w:rsid w:val="00025EBE"/>
    <w:rsid w:val="00070BDB"/>
    <w:rsid w:val="00077F8A"/>
    <w:rsid w:val="000C2B8C"/>
    <w:rsid w:val="000D188C"/>
    <w:rsid w:val="000F354E"/>
    <w:rsid w:val="00104E95"/>
    <w:rsid w:val="001054EF"/>
    <w:rsid w:val="00147DF0"/>
    <w:rsid w:val="001717BB"/>
    <w:rsid w:val="0018200C"/>
    <w:rsid w:val="001E2956"/>
    <w:rsid w:val="00252CF2"/>
    <w:rsid w:val="002A1146"/>
    <w:rsid w:val="002F4DA6"/>
    <w:rsid w:val="00302073"/>
    <w:rsid w:val="00317670"/>
    <w:rsid w:val="0032045F"/>
    <w:rsid w:val="00335F08"/>
    <w:rsid w:val="00340926"/>
    <w:rsid w:val="00355DF1"/>
    <w:rsid w:val="00356D13"/>
    <w:rsid w:val="00361C18"/>
    <w:rsid w:val="00364E2F"/>
    <w:rsid w:val="00367C2E"/>
    <w:rsid w:val="0039172A"/>
    <w:rsid w:val="003B1FA7"/>
    <w:rsid w:val="003E2B71"/>
    <w:rsid w:val="004045CB"/>
    <w:rsid w:val="00427BA1"/>
    <w:rsid w:val="004411F1"/>
    <w:rsid w:val="00446D0D"/>
    <w:rsid w:val="0047006A"/>
    <w:rsid w:val="00484120"/>
    <w:rsid w:val="00492B89"/>
    <w:rsid w:val="004A78AA"/>
    <w:rsid w:val="004D49DB"/>
    <w:rsid w:val="004E3292"/>
    <w:rsid w:val="004F4140"/>
    <w:rsid w:val="0050061E"/>
    <w:rsid w:val="00505726"/>
    <w:rsid w:val="0051016E"/>
    <w:rsid w:val="00514C2C"/>
    <w:rsid w:val="00522870"/>
    <w:rsid w:val="00525F5A"/>
    <w:rsid w:val="00534208"/>
    <w:rsid w:val="005435F0"/>
    <w:rsid w:val="00552C0E"/>
    <w:rsid w:val="00566B42"/>
    <w:rsid w:val="005847EC"/>
    <w:rsid w:val="00663A21"/>
    <w:rsid w:val="006651FE"/>
    <w:rsid w:val="006A6E12"/>
    <w:rsid w:val="006C585F"/>
    <w:rsid w:val="006E149B"/>
    <w:rsid w:val="006E1835"/>
    <w:rsid w:val="006F5398"/>
    <w:rsid w:val="00706E93"/>
    <w:rsid w:val="00715D25"/>
    <w:rsid w:val="00733C2C"/>
    <w:rsid w:val="0074375C"/>
    <w:rsid w:val="00747EFA"/>
    <w:rsid w:val="00754E8C"/>
    <w:rsid w:val="00766CD9"/>
    <w:rsid w:val="00783703"/>
    <w:rsid w:val="00790B24"/>
    <w:rsid w:val="007C3C15"/>
    <w:rsid w:val="007C67E3"/>
    <w:rsid w:val="007D310B"/>
    <w:rsid w:val="007E4CF0"/>
    <w:rsid w:val="00814C26"/>
    <w:rsid w:val="00814C3A"/>
    <w:rsid w:val="00820FB0"/>
    <w:rsid w:val="00852D2F"/>
    <w:rsid w:val="00853338"/>
    <w:rsid w:val="00873A6A"/>
    <w:rsid w:val="00881653"/>
    <w:rsid w:val="00896F45"/>
    <w:rsid w:val="008B36D9"/>
    <w:rsid w:val="008D2C7B"/>
    <w:rsid w:val="008D533D"/>
    <w:rsid w:val="008F65C7"/>
    <w:rsid w:val="009157EB"/>
    <w:rsid w:val="0092348E"/>
    <w:rsid w:val="00940861"/>
    <w:rsid w:val="00940FF5"/>
    <w:rsid w:val="009434BC"/>
    <w:rsid w:val="0095237B"/>
    <w:rsid w:val="009D1FE9"/>
    <w:rsid w:val="009D4D68"/>
    <w:rsid w:val="009E0508"/>
    <w:rsid w:val="009F4E8D"/>
    <w:rsid w:val="00A05875"/>
    <w:rsid w:val="00A40E5D"/>
    <w:rsid w:val="00A66F8E"/>
    <w:rsid w:val="00A6713E"/>
    <w:rsid w:val="00A76468"/>
    <w:rsid w:val="00A82448"/>
    <w:rsid w:val="00A92A32"/>
    <w:rsid w:val="00A933E2"/>
    <w:rsid w:val="00AA35CE"/>
    <w:rsid w:val="00AB2871"/>
    <w:rsid w:val="00AC1418"/>
    <w:rsid w:val="00AC5918"/>
    <w:rsid w:val="00AC6C47"/>
    <w:rsid w:val="00AD3810"/>
    <w:rsid w:val="00AD3B62"/>
    <w:rsid w:val="00B41CE8"/>
    <w:rsid w:val="00B4203D"/>
    <w:rsid w:val="00B50FA7"/>
    <w:rsid w:val="00B62653"/>
    <w:rsid w:val="00B91FBB"/>
    <w:rsid w:val="00BB768D"/>
    <w:rsid w:val="00BC1CF3"/>
    <w:rsid w:val="00BC2F99"/>
    <w:rsid w:val="00BD1A29"/>
    <w:rsid w:val="00C05D45"/>
    <w:rsid w:val="00C34FC9"/>
    <w:rsid w:val="00C36B3F"/>
    <w:rsid w:val="00C52147"/>
    <w:rsid w:val="00CB4FD8"/>
    <w:rsid w:val="00CF6C71"/>
    <w:rsid w:val="00D012F6"/>
    <w:rsid w:val="00D117C9"/>
    <w:rsid w:val="00D163BE"/>
    <w:rsid w:val="00D47900"/>
    <w:rsid w:val="00D81F8A"/>
    <w:rsid w:val="00D82ACA"/>
    <w:rsid w:val="00D83261"/>
    <w:rsid w:val="00D863C1"/>
    <w:rsid w:val="00DA7170"/>
    <w:rsid w:val="00DC6D7D"/>
    <w:rsid w:val="00DD028A"/>
    <w:rsid w:val="00DD1EBA"/>
    <w:rsid w:val="00DF0025"/>
    <w:rsid w:val="00E263AA"/>
    <w:rsid w:val="00E26E3E"/>
    <w:rsid w:val="00E579C4"/>
    <w:rsid w:val="00E60091"/>
    <w:rsid w:val="00E77408"/>
    <w:rsid w:val="00E87831"/>
    <w:rsid w:val="00E97F2B"/>
    <w:rsid w:val="00EA792C"/>
    <w:rsid w:val="00EF5465"/>
    <w:rsid w:val="00F00B01"/>
    <w:rsid w:val="00F10236"/>
    <w:rsid w:val="00F110B9"/>
    <w:rsid w:val="00F12A16"/>
    <w:rsid w:val="00F14F0E"/>
    <w:rsid w:val="00F205E5"/>
    <w:rsid w:val="00F21126"/>
    <w:rsid w:val="00F435EE"/>
    <w:rsid w:val="00F56622"/>
    <w:rsid w:val="00F632FB"/>
    <w:rsid w:val="00FC61ED"/>
    <w:rsid w:val="00FD5BED"/>
    <w:rsid w:val="00FE78B8"/>
    <w:rsid w:val="00FF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37FA331-7DEA-4A6F-9025-E15ADF62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79C4"/>
    <w:pPr>
      <w:suppressAutoHyphens/>
      <w:spacing w:after="0" w:line="240" w:lineRule="auto"/>
    </w:pPr>
    <w:rPr>
      <w:rFonts w:ascii="Calibri" w:eastAsia="SimSun" w:hAnsi="Calibri" w:cs="Arial"/>
      <w:szCs w:val="20"/>
    </w:rPr>
  </w:style>
  <w:style w:type="paragraph" w:customStyle="1" w:styleId="10sp0">
    <w:name w:val="_1.0sp 0&quot;"/>
    <w:basedOn w:val="Normal0"/>
    <w:rsid w:val="00E579C4"/>
    <w:pPr>
      <w:spacing w:after="240"/>
    </w:pPr>
  </w:style>
  <w:style w:type="paragraph" w:customStyle="1" w:styleId="10sp0nospaceafter">
    <w:name w:val="_1.0sp 0&quot; (no space after)"/>
    <w:basedOn w:val="Normal0"/>
    <w:rsid w:val="00E579C4"/>
  </w:style>
  <w:style w:type="paragraph" w:customStyle="1" w:styleId="10sp05">
    <w:name w:val="_1.0sp 0.5&quot;"/>
    <w:basedOn w:val="Normal0"/>
    <w:rsid w:val="00E579C4"/>
    <w:pPr>
      <w:spacing w:after="240"/>
      <w:ind w:firstLine="720"/>
    </w:pPr>
  </w:style>
  <w:style w:type="paragraph" w:customStyle="1" w:styleId="10sp1">
    <w:name w:val="_1.0sp 1&quot;"/>
    <w:basedOn w:val="Normal0"/>
    <w:rsid w:val="00E579C4"/>
    <w:pPr>
      <w:spacing w:after="240"/>
      <w:ind w:firstLine="1440"/>
    </w:pPr>
  </w:style>
  <w:style w:type="paragraph" w:customStyle="1" w:styleId="10sp15">
    <w:name w:val="_1.0sp 1.5&quot;"/>
    <w:basedOn w:val="Normal0"/>
    <w:rsid w:val="00E579C4"/>
    <w:pPr>
      <w:spacing w:after="240"/>
      <w:ind w:firstLine="2160"/>
    </w:pPr>
  </w:style>
  <w:style w:type="paragraph" w:customStyle="1" w:styleId="10sp2">
    <w:name w:val="_1.0sp 2&quot;"/>
    <w:basedOn w:val="Normal0"/>
    <w:qFormat/>
    <w:rsid w:val="00E579C4"/>
    <w:pPr>
      <w:spacing w:after="240"/>
      <w:ind w:firstLine="2880"/>
    </w:pPr>
    <w:rPr>
      <w:noProof/>
    </w:rPr>
  </w:style>
  <w:style w:type="paragraph" w:customStyle="1" w:styleId="10spCentered">
    <w:name w:val="_1.0sp Centered"/>
    <w:basedOn w:val="Normal0"/>
    <w:rsid w:val="00E579C4"/>
    <w:pPr>
      <w:spacing w:after="240"/>
      <w:jc w:val="center"/>
    </w:pPr>
  </w:style>
  <w:style w:type="paragraph" w:customStyle="1" w:styleId="10spCenterednospaceafter">
    <w:name w:val="_1.0sp Centered (no space after)"/>
    <w:basedOn w:val="Normal0"/>
    <w:rsid w:val="00E579C4"/>
    <w:pPr>
      <w:jc w:val="center"/>
    </w:pPr>
  </w:style>
  <w:style w:type="paragraph" w:customStyle="1" w:styleId="10spHanging05">
    <w:name w:val="_1.0sp Hanging 0.5&quot;"/>
    <w:basedOn w:val="Normal0"/>
    <w:rsid w:val="00E579C4"/>
    <w:pPr>
      <w:spacing w:after="240"/>
      <w:ind w:left="720" w:hanging="720"/>
    </w:pPr>
  </w:style>
  <w:style w:type="paragraph" w:customStyle="1" w:styleId="10spHanging05nospaceafter">
    <w:name w:val="_1.0sp Hanging 0.5&quot; (no space after)"/>
    <w:basedOn w:val="Normal0"/>
    <w:rsid w:val="00E579C4"/>
    <w:pPr>
      <w:ind w:left="720" w:hanging="720"/>
    </w:pPr>
  </w:style>
  <w:style w:type="paragraph" w:customStyle="1" w:styleId="10spHanging1">
    <w:name w:val="_1.0sp Hanging 1&quot;"/>
    <w:basedOn w:val="Normal0"/>
    <w:rsid w:val="00E579C4"/>
    <w:pPr>
      <w:spacing w:after="240"/>
      <w:ind w:left="1440" w:hanging="720"/>
    </w:pPr>
  </w:style>
  <w:style w:type="paragraph" w:customStyle="1" w:styleId="10spHanging15">
    <w:name w:val="_1.0sp Hanging 1.5&quot;"/>
    <w:basedOn w:val="Normal0"/>
    <w:rsid w:val="00E579C4"/>
    <w:pPr>
      <w:spacing w:after="240"/>
      <w:ind w:left="2160" w:hanging="720"/>
    </w:pPr>
  </w:style>
  <w:style w:type="paragraph" w:customStyle="1" w:styleId="10spHanging2">
    <w:name w:val="_1.0sp Hanging 2&quot;"/>
    <w:basedOn w:val="Normal0"/>
    <w:qFormat/>
    <w:rsid w:val="00E579C4"/>
    <w:pPr>
      <w:spacing w:after="240"/>
      <w:ind w:left="2880" w:hanging="720"/>
    </w:pPr>
  </w:style>
  <w:style w:type="paragraph" w:customStyle="1" w:styleId="10spLeftInd05">
    <w:name w:val="_1.0sp Left Ind 0.5&quot;"/>
    <w:basedOn w:val="Normal0"/>
    <w:rsid w:val="00E579C4"/>
    <w:pPr>
      <w:spacing w:after="240"/>
      <w:ind w:left="720"/>
    </w:pPr>
  </w:style>
  <w:style w:type="paragraph" w:customStyle="1" w:styleId="10spLeftInd05nospaceafter">
    <w:name w:val="_1.0sp Left Ind 0.5&quot; (no space after)"/>
    <w:basedOn w:val="Normal0"/>
    <w:rsid w:val="00E579C4"/>
    <w:pPr>
      <w:ind w:left="720"/>
    </w:pPr>
  </w:style>
  <w:style w:type="paragraph" w:customStyle="1" w:styleId="10spLeftInd1">
    <w:name w:val="_1.0sp Left Ind 1&quot;"/>
    <w:basedOn w:val="Normal0"/>
    <w:rsid w:val="00E579C4"/>
    <w:pPr>
      <w:spacing w:after="240"/>
      <w:ind w:left="1440"/>
    </w:pPr>
  </w:style>
  <w:style w:type="paragraph" w:customStyle="1" w:styleId="10spLeftInd15">
    <w:name w:val="_1.0sp Left Ind 1.5&quot;"/>
    <w:basedOn w:val="Normal0"/>
    <w:rsid w:val="00E579C4"/>
    <w:pPr>
      <w:spacing w:after="240"/>
      <w:ind w:left="2160"/>
    </w:pPr>
  </w:style>
  <w:style w:type="paragraph" w:customStyle="1" w:styleId="10spLeftInd2">
    <w:name w:val="_1.0sp Left Ind 2&quot;"/>
    <w:basedOn w:val="Normal0"/>
    <w:rsid w:val="00E579C4"/>
    <w:pPr>
      <w:spacing w:after="240"/>
      <w:ind w:left="2880"/>
    </w:pPr>
  </w:style>
  <w:style w:type="paragraph" w:customStyle="1" w:styleId="10spLeft-Right05">
    <w:name w:val="_1.0sp Left-Right 0.5&quot;"/>
    <w:basedOn w:val="Normal0"/>
    <w:rsid w:val="00E579C4"/>
    <w:pPr>
      <w:spacing w:after="240"/>
      <w:ind w:left="720" w:right="720"/>
    </w:pPr>
  </w:style>
  <w:style w:type="paragraph" w:customStyle="1" w:styleId="10spLeft-Right1">
    <w:name w:val="_1.0sp Left-Right 1&quot;"/>
    <w:basedOn w:val="Normal0"/>
    <w:rsid w:val="00E579C4"/>
    <w:pPr>
      <w:spacing w:after="240"/>
      <w:ind w:left="1440" w:right="1440"/>
    </w:pPr>
  </w:style>
  <w:style w:type="paragraph" w:customStyle="1" w:styleId="10spLeft-Right15">
    <w:name w:val="_1.0sp Left-Right 1.5&quot;"/>
    <w:basedOn w:val="Normal0"/>
    <w:rsid w:val="00E579C4"/>
    <w:pPr>
      <w:spacing w:after="240"/>
      <w:ind w:left="2160" w:right="2160"/>
    </w:pPr>
  </w:style>
  <w:style w:type="paragraph" w:customStyle="1" w:styleId="10spLeft-Right2">
    <w:name w:val="_1.0sp Left-Right 2&quot;"/>
    <w:basedOn w:val="Normal0"/>
    <w:qFormat/>
    <w:rsid w:val="00E579C4"/>
    <w:pPr>
      <w:spacing w:after="240"/>
      <w:ind w:left="2880" w:right="2880"/>
    </w:pPr>
    <w:rPr>
      <w:noProof/>
    </w:rPr>
  </w:style>
  <w:style w:type="paragraph" w:customStyle="1" w:styleId="10spRightAligned">
    <w:name w:val="_1.0sp Right Aligned"/>
    <w:basedOn w:val="Normal0"/>
    <w:rsid w:val="00E579C4"/>
    <w:pPr>
      <w:spacing w:after="240"/>
      <w:jc w:val="right"/>
    </w:pPr>
  </w:style>
  <w:style w:type="paragraph" w:customStyle="1" w:styleId="15sp0">
    <w:name w:val="_1.5sp 0&quot;"/>
    <w:basedOn w:val="Normal0"/>
    <w:rsid w:val="00E579C4"/>
    <w:pPr>
      <w:spacing w:line="360" w:lineRule="auto"/>
    </w:pPr>
  </w:style>
  <w:style w:type="paragraph" w:customStyle="1" w:styleId="15sp05">
    <w:name w:val="_1.5sp 0.5&quot;"/>
    <w:basedOn w:val="Normal0"/>
    <w:rsid w:val="00E579C4"/>
    <w:pPr>
      <w:spacing w:line="360" w:lineRule="auto"/>
      <w:ind w:firstLine="720"/>
    </w:pPr>
  </w:style>
  <w:style w:type="paragraph" w:customStyle="1" w:styleId="15sp1">
    <w:name w:val="_1.5sp 1&quot;"/>
    <w:basedOn w:val="Normal0"/>
    <w:rsid w:val="00E579C4"/>
    <w:pPr>
      <w:spacing w:line="360" w:lineRule="auto"/>
      <w:ind w:firstLine="1440"/>
    </w:pPr>
  </w:style>
  <w:style w:type="paragraph" w:customStyle="1" w:styleId="15sp15">
    <w:name w:val="_1.5sp 1.5&quot;"/>
    <w:basedOn w:val="Normal0"/>
    <w:rsid w:val="00E579C4"/>
    <w:pPr>
      <w:spacing w:line="360" w:lineRule="auto"/>
      <w:ind w:firstLine="2160"/>
    </w:pPr>
  </w:style>
  <w:style w:type="paragraph" w:customStyle="1" w:styleId="15sp2">
    <w:name w:val="_1.5sp 2&quot;"/>
    <w:basedOn w:val="Normal0"/>
    <w:qFormat/>
    <w:rsid w:val="00E579C4"/>
    <w:pPr>
      <w:spacing w:line="360" w:lineRule="auto"/>
      <w:ind w:firstLine="2880"/>
    </w:pPr>
  </w:style>
  <w:style w:type="paragraph" w:customStyle="1" w:styleId="15spCentered">
    <w:name w:val="_1.5sp Centered"/>
    <w:basedOn w:val="Normal0"/>
    <w:rsid w:val="00E579C4"/>
    <w:pPr>
      <w:spacing w:line="360" w:lineRule="auto"/>
      <w:jc w:val="center"/>
    </w:pPr>
  </w:style>
  <w:style w:type="paragraph" w:customStyle="1" w:styleId="15spHanging05">
    <w:name w:val="_1.5sp Hanging 0.5&quot;"/>
    <w:basedOn w:val="Normal0"/>
    <w:rsid w:val="00E579C4"/>
    <w:pPr>
      <w:spacing w:line="360" w:lineRule="auto"/>
      <w:ind w:left="720" w:hanging="720"/>
    </w:pPr>
  </w:style>
  <w:style w:type="paragraph" w:customStyle="1" w:styleId="15spHanging1">
    <w:name w:val="_1.5sp Hanging 1&quot;"/>
    <w:basedOn w:val="Normal0"/>
    <w:rsid w:val="00E579C4"/>
    <w:pPr>
      <w:spacing w:line="360" w:lineRule="auto"/>
      <w:ind w:left="1440" w:hanging="720"/>
    </w:pPr>
  </w:style>
  <w:style w:type="paragraph" w:customStyle="1" w:styleId="15spHanging15">
    <w:name w:val="_1.5sp Hanging 1.5&quot;"/>
    <w:basedOn w:val="Normal0"/>
    <w:rsid w:val="00E579C4"/>
    <w:pPr>
      <w:spacing w:line="360" w:lineRule="auto"/>
      <w:ind w:left="2160" w:hanging="720"/>
    </w:pPr>
  </w:style>
  <w:style w:type="paragraph" w:customStyle="1" w:styleId="15spHanging2">
    <w:name w:val="_1.5sp Hanging 2&quot;"/>
    <w:basedOn w:val="Normal0"/>
    <w:qFormat/>
    <w:rsid w:val="00E579C4"/>
    <w:pPr>
      <w:spacing w:line="360" w:lineRule="auto"/>
      <w:ind w:left="2880" w:hanging="720"/>
    </w:pPr>
    <w:rPr>
      <w:noProof/>
    </w:rPr>
  </w:style>
  <w:style w:type="paragraph" w:customStyle="1" w:styleId="15spLeftInd05">
    <w:name w:val="_1.5sp Left Ind 0.5&quot;"/>
    <w:basedOn w:val="Normal0"/>
    <w:rsid w:val="00E579C4"/>
    <w:pPr>
      <w:spacing w:line="360" w:lineRule="auto"/>
      <w:ind w:left="720"/>
    </w:pPr>
  </w:style>
  <w:style w:type="paragraph" w:customStyle="1" w:styleId="15spLeftInd1">
    <w:name w:val="_1.5sp Left Ind 1&quot;"/>
    <w:basedOn w:val="Normal0"/>
    <w:rsid w:val="00E579C4"/>
    <w:pPr>
      <w:spacing w:line="360" w:lineRule="auto"/>
      <w:ind w:left="1440"/>
    </w:pPr>
  </w:style>
  <w:style w:type="paragraph" w:customStyle="1" w:styleId="15spLeftInd15">
    <w:name w:val="_1.5sp Left Ind 1.5&quot;"/>
    <w:basedOn w:val="Normal0"/>
    <w:rsid w:val="00E579C4"/>
    <w:pPr>
      <w:spacing w:line="360" w:lineRule="auto"/>
      <w:ind w:left="2160"/>
    </w:pPr>
  </w:style>
  <w:style w:type="paragraph" w:customStyle="1" w:styleId="15spLeftInd2">
    <w:name w:val="_1.5sp Left Ind 2&quot;"/>
    <w:basedOn w:val="Normal0"/>
    <w:rsid w:val="00E579C4"/>
    <w:pPr>
      <w:spacing w:line="360" w:lineRule="auto"/>
      <w:ind w:left="2880"/>
    </w:pPr>
  </w:style>
  <w:style w:type="paragraph" w:customStyle="1" w:styleId="15spLeft-Right05">
    <w:name w:val="_1.5sp Left-Right 0.5&quot;"/>
    <w:basedOn w:val="Normal0"/>
    <w:rsid w:val="00E579C4"/>
    <w:pPr>
      <w:spacing w:line="360" w:lineRule="auto"/>
      <w:ind w:left="720" w:right="720"/>
    </w:pPr>
  </w:style>
  <w:style w:type="paragraph" w:customStyle="1" w:styleId="15spLeft-Right1">
    <w:name w:val="_1.5sp Left-Right 1&quot;"/>
    <w:basedOn w:val="Normal0"/>
    <w:rsid w:val="00E579C4"/>
    <w:pPr>
      <w:spacing w:line="360" w:lineRule="auto"/>
      <w:ind w:left="1440" w:right="1440"/>
    </w:pPr>
  </w:style>
  <w:style w:type="paragraph" w:customStyle="1" w:styleId="15spLeft-Right15">
    <w:name w:val="_1.5sp Left-Right 1.5&quot;"/>
    <w:basedOn w:val="Normal0"/>
    <w:rsid w:val="00E579C4"/>
    <w:pPr>
      <w:spacing w:line="360" w:lineRule="auto"/>
      <w:ind w:left="2160" w:right="2160"/>
    </w:pPr>
  </w:style>
  <w:style w:type="paragraph" w:customStyle="1" w:styleId="15spLeft-Right2">
    <w:name w:val="_1.5sp Left-Right 2&quot;"/>
    <w:basedOn w:val="Normal0"/>
    <w:qFormat/>
    <w:rsid w:val="00E579C4"/>
    <w:pPr>
      <w:spacing w:line="360" w:lineRule="auto"/>
      <w:ind w:left="2880" w:right="2880"/>
    </w:pPr>
  </w:style>
  <w:style w:type="paragraph" w:customStyle="1" w:styleId="15spRightAligned">
    <w:name w:val="_1.5sp Right Aligned"/>
    <w:basedOn w:val="Normal0"/>
    <w:rsid w:val="00E579C4"/>
    <w:pPr>
      <w:spacing w:line="360" w:lineRule="auto"/>
      <w:jc w:val="right"/>
    </w:pPr>
  </w:style>
  <w:style w:type="paragraph" w:customStyle="1" w:styleId="20sp0">
    <w:name w:val="_2.0sp 0&quot;"/>
    <w:basedOn w:val="Normal0"/>
    <w:rsid w:val="00E579C4"/>
    <w:pPr>
      <w:spacing w:line="480" w:lineRule="auto"/>
    </w:pPr>
  </w:style>
  <w:style w:type="paragraph" w:customStyle="1" w:styleId="20sp05">
    <w:name w:val="_2.0sp 0.5&quot;"/>
    <w:basedOn w:val="Normal0"/>
    <w:rsid w:val="00E579C4"/>
    <w:pPr>
      <w:spacing w:line="480" w:lineRule="auto"/>
      <w:ind w:firstLine="720"/>
    </w:pPr>
  </w:style>
  <w:style w:type="paragraph" w:customStyle="1" w:styleId="20sp1">
    <w:name w:val="_2.0sp 1&quot;"/>
    <w:basedOn w:val="Normal0"/>
    <w:rsid w:val="00E579C4"/>
    <w:pPr>
      <w:spacing w:line="480" w:lineRule="auto"/>
      <w:ind w:firstLine="1440"/>
    </w:pPr>
  </w:style>
  <w:style w:type="paragraph" w:customStyle="1" w:styleId="20sp15">
    <w:name w:val="_2.0sp 1.5&quot;"/>
    <w:basedOn w:val="Normal0"/>
    <w:rsid w:val="00E579C4"/>
    <w:pPr>
      <w:spacing w:line="480" w:lineRule="auto"/>
      <w:ind w:firstLine="2160"/>
    </w:pPr>
  </w:style>
  <w:style w:type="paragraph" w:customStyle="1" w:styleId="20sp2">
    <w:name w:val="_2.0sp 2&quot;"/>
    <w:basedOn w:val="Normal0"/>
    <w:qFormat/>
    <w:rsid w:val="00E579C4"/>
    <w:pPr>
      <w:spacing w:line="480" w:lineRule="auto"/>
      <w:ind w:firstLine="2880"/>
    </w:pPr>
    <w:rPr>
      <w:noProof/>
    </w:rPr>
  </w:style>
  <w:style w:type="paragraph" w:customStyle="1" w:styleId="20spCentered">
    <w:name w:val="_2.0sp Centered"/>
    <w:basedOn w:val="Normal0"/>
    <w:rsid w:val="00E579C4"/>
    <w:pPr>
      <w:spacing w:line="480" w:lineRule="auto"/>
      <w:jc w:val="center"/>
    </w:pPr>
  </w:style>
  <w:style w:type="paragraph" w:customStyle="1" w:styleId="20spHanging05">
    <w:name w:val="_2.0sp Hanging 0.5&quot;"/>
    <w:basedOn w:val="Normal0"/>
    <w:rsid w:val="00E579C4"/>
    <w:pPr>
      <w:spacing w:line="480" w:lineRule="auto"/>
      <w:ind w:left="720" w:hanging="720"/>
    </w:pPr>
  </w:style>
  <w:style w:type="paragraph" w:customStyle="1" w:styleId="20spHanging1">
    <w:name w:val="_2.0sp Hanging 1&quot;"/>
    <w:basedOn w:val="Normal0"/>
    <w:rsid w:val="00E579C4"/>
    <w:pPr>
      <w:spacing w:line="480" w:lineRule="auto"/>
      <w:ind w:left="1440" w:hanging="720"/>
    </w:pPr>
  </w:style>
  <w:style w:type="paragraph" w:customStyle="1" w:styleId="20spHanging15">
    <w:name w:val="_2.0sp Hanging 1.5&quot;"/>
    <w:basedOn w:val="Normal0"/>
    <w:rsid w:val="00E579C4"/>
    <w:pPr>
      <w:spacing w:line="480" w:lineRule="auto"/>
      <w:ind w:left="2160" w:hanging="720"/>
    </w:pPr>
  </w:style>
  <w:style w:type="paragraph" w:customStyle="1" w:styleId="20spHanging2">
    <w:name w:val="_2.0sp Hanging 2&quot;"/>
    <w:basedOn w:val="Normal0"/>
    <w:qFormat/>
    <w:rsid w:val="00E579C4"/>
    <w:pPr>
      <w:spacing w:line="480" w:lineRule="auto"/>
      <w:ind w:left="2880" w:hanging="720"/>
    </w:pPr>
  </w:style>
  <w:style w:type="paragraph" w:customStyle="1" w:styleId="20spLeftInd05">
    <w:name w:val="_2.0sp Left Ind 0.5&quot;"/>
    <w:basedOn w:val="Normal0"/>
    <w:rsid w:val="00E579C4"/>
    <w:pPr>
      <w:spacing w:line="480" w:lineRule="auto"/>
      <w:ind w:left="720"/>
    </w:pPr>
  </w:style>
  <w:style w:type="paragraph" w:customStyle="1" w:styleId="20spLeftInd1">
    <w:name w:val="_2.0sp Left Ind 1&quot;"/>
    <w:basedOn w:val="Normal0"/>
    <w:rsid w:val="00E579C4"/>
    <w:pPr>
      <w:spacing w:line="480" w:lineRule="auto"/>
      <w:ind w:left="1440"/>
    </w:pPr>
  </w:style>
  <w:style w:type="paragraph" w:customStyle="1" w:styleId="20spLeftInd15">
    <w:name w:val="_2.0sp Left Ind 1.5&quot;"/>
    <w:basedOn w:val="Normal0"/>
    <w:rsid w:val="00E579C4"/>
    <w:pPr>
      <w:spacing w:line="480" w:lineRule="auto"/>
      <w:ind w:left="2160"/>
    </w:pPr>
  </w:style>
  <w:style w:type="paragraph" w:customStyle="1" w:styleId="20spLeftInd2">
    <w:name w:val="_2.0sp Left Ind 2&quot;"/>
    <w:basedOn w:val="Normal0"/>
    <w:rsid w:val="00E579C4"/>
    <w:pPr>
      <w:spacing w:line="480" w:lineRule="auto"/>
      <w:ind w:left="2880"/>
    </w:pPr>
  </w:style>
  <w:style w:type="paragraph" w:customStyle="1" w:styleId="20spLeft-Right05">
    <w:name w:val="_2.0sp Left-Right 0.5&quot;"/>
    <w:basedOn w:val="Normal0"/>
    <w:rsid w:val="00E579C4"/>
    <w:pPr>
      <w:spacing w:line="480" w:lineRule="auto"/>
      <w:ind w:left="720" w:right="720"/>
    </w:pPr>
  </w:style>
  <w:style w:type="paragraph" w:customStyle="1" w:styleId="20spLeft-Right1">
    <w:name w:val="_2.0sp Left-Right 1&quot;"/>
    <w:basedOn w:val="Normal0"/>
    <w:rsid w:val="00E579C4"/>
    <w:pPr>
      <w:spacing w:line="480" w:lineRule="auto"/>
      <w:ind w:left="1440" w:right="1440"/>
    </w:pPr>
  </w:style>
  <w:style w:type="paragraph" w:customStyle="1" w:styleId="20spLeft-Right15">
    <w:name w:val="_2.0sp Left-Right 1.5&quot;"/>
    <w:basedOn w:val="Normal0"/>
    <w:rsid w:val="00E579C4"/>
    <w:pPr>
      <w:spacing w:line="480" w:lineRule="auto"/>
      <w:ind w:left="2160" w:right="2160"/>
    </w:pPr>
  </w:style>
  <w:style w:type="paragraph" w:customStyle="1" w:styleId="20spLeft-Right2">
    <w:name w:val="_2.0sp Left-Right 2&quot;"/>
    <w:basedOn w:val="Normal0"/>
    <w:qFormat/>
    <w:rsid w:val="00E579C4"/>
    <w:pPr>
      <w:spacing w:line="480" w:lineRule="auto"/>
      <w:ind w:left="2880" w:right="2880"/>
    </w:pPr>
    <w:rPr>
      <w:noProof/>
    </w:rPr>
  </w:style>
  <w:style w:type="paragraph" w:customStyle="1" w:styleId="20spRightAligned">
    <w:name w:val="_2.0sp Right Aligned"/>
    <w:basedOn w:val="Normal0"/>
    <w:rsid w:val="00E579C4"/>
    <w:pPr>
      <w:spacing w:line="480" w:lineRule="auto"/>
      <w:jc w:val="right"/>
    </w:pPr>
  </w:style>
  <w:style w:type="paragraph" w:customStyle="1" w:styleId="CustomHeading1">
    <w:name w:val="_Custom Heading 1"/>
    <w:basedOn w:val="Normal0"/>
    <w:rsid w:val="00E579C4"/>
    <w:pPr>
      <w:keepNext/>
      <w:keepLines/>
      <w:spacing w:after="240"/>
      <w:jc w:val="center"/>
    </w:pPr>
  </w:style>
  <w:style w:type="paragraph" w:customStyle="1" w:styleId="CustomHeading2">
    <w:name w:val="_Custom Heading 2"/>
    <w:basedOn w:val="Normal0"/>
    <w:rsid w:val="00E579C4"/>
    <w:pPr>
      <w:keepNext/>
      <w:keepLines/>
      <w:spacing w:after="240"/>
      <w:jc w:val="center"/>
    </w:pPr>
  </w:style>
  <w:style w:type="paragraph" w:customStyle="1" w:styleId="CustomHeading3">
    <w:name w:val="_Custom Heading 3"/>
    <w:basedOn w:val="Normal0"/>
    <w:rsid w:val="00E579C4"/>
    <w:pPr>
      <w:keepNext/>
      <w:keepLines/>
      <w:spacing w:after="240"/>
      <w:jc w:val="center"/>
    </w:pPr>
  </w:style>
  <w:style w:type="paragraph" w:customStyle="1" w:styleId="CustomHeading4">
    <w:name w:val="_Custom Heading 4"/>
    <w:basedOn w:val="Normal0"/>
    <w:rsid w:val="00E579C4"/>
    <w:pPr>
      <w:keepNext/>
      <w:keepLines/>
      <w:spacing w:after="240"/>
      <w:jc w:val="center"/>
    </w:pPr>
  </w:style>
  <w:style w:type="paragraph" w:customStyle="1" w:styleId="CustomHeading5">
    <w:name w:val="_Custom Heading 5"/>
    <w:basedOn w:val="Normal0"/>
    <w:rsid w:val="00E579C4"/>
    <w:pPr>
      <w:keepNext/>
      <w:keepLines/>
      <w:spacing w:after="240"/>
      <w:jc w:val="center"/>
    </w:pPr>
  </w:style>
  <w:style w:type="paragraph" w:customStyle="1" w:styleId="CustomHeading6">
    <w:name w:val="_Custom Heading 6"/>
    <w:basedOn w:val="Normal0"/>
    <w:rsid w:val="00E579C4"/>
    <w:pPr>
      <w:keepNext/>
      <w:keepLines/>
      <w:spacing w:after="240"/>
      <w:jc w:val="center"/>
    </w:pPr>
  </w:style>
  <w:style w:type="paragraph" w:customStyle="1" w:styleId="CustomParagraph1">
    <w:name w:val="_Custom Paragraph 1"/>
    <w:basedOn w:val="Normal0"/>
    <w:rsid w:val="00E579C4"/>
    <w:pPr>
      <w:spacing w:after="240"/>
    </w:pPr>
  </w:style>
  <w:style w:type="paragraph" w:customStyle="1" w:styleId="CustomParagraph2">
    <w:name w:val="_Custom Paragraph 2"/>
    <w:basedOn w:val="Normal0"/>
    <w:rsid w:val="00E579C4"/>
    <w:pPr>
      <w:spacing w:after="240"/>
    </w:pPr>
  </w:style>
  <w:style w:type="paragraph" w:customStyle="1" w:styleId="CustomParagraph3">
    <w:name w:val="_Custom Paragraph 3"/>
    <w:basedOn w:val="Normal0"/>
    <w:rsid w:val="00E579C4"/>
    <w:pPr>
      <w:spacing w:after="240"/>
    </w:pPr>
  </w:style>
  <w:style w:type="paragraph" w:customStyle="1" w:styleId="CustomParagraph4">
    <w:name w:val="_Custom Paragraph 4"/>
    <w:basedOn w:val="Normal0"/>
    <w:rsid w:val="00E579C4"/>
    <w:pPr>
      <w:spacing w:after="240"/>
    </w:pPr>
  </w:style>
  <w:style w:type="paragraph" w:customStyle="1" w:styleId="CustomParagraph5">
    <w:name w:val="_Custom Paragraph 5"/>
    <w:basedOn w:val="Normal0"/>
    <w:rsid w:val="00E579C4"/>
    <w:pPr>
      <w:spacing w:after="240"/>
    </w:pPr>
  </w:style>
  <w:style w:type="paragraph" w:customStyle="1" w:styleId="CustomParagraph6">
    <w:name w:val="_Custom Paragraph 6"/>
    <w:basedOn w:val="Normal0"/>
    <w:rsid w:val="00E579C4"/>
    <w:pPr>
      <w:spacing w:after="240"/>
    </w:pPr>
  </w:style>
  <w:style w:type="paragraph" w:customStyle="1" w:styleId="HdgCenter">
    <w:name w:val="_Hdg Center"/>
    <w:basedOn w:val="Normal0"/>
    <w:rsid w:val="00E579C4"/>
    <w:pPr>
      <w:keepNext/>
      <w:keepLines/>
      <w:spacing w:after="240"/>
      <w:jc w:val="center"/>
    </w:pPr>
  </w:style>
  <w:style w:type="paragraph" w:customStyle="1" w:styleId="HdgCenterBold">
    <w:name w:val="_Hdg Center Bold"/>
    <w:basedOn w:val="Normal0"/>
    <w:rsid w:val="00E579C4"/>
    <w:pPr>
      <w:keepNext/>
      <w:keepLines/>
      <w:spacing w:after="240"/>
      <w:jc w:val="center"/>
    </w:pPr>
    <w:rPr>
      <w:b/>
    </w:rPr>
  </w:style>
  <w:style w:type="paragraph" w:customStyle="1" w:styleId="HdgCenterBold-Italic">
    <w:name w:val="_Hdg Center Bold-Italic"/>
    <w:basedOn w:val="Normal0"/>
    <w:rsid w:val="00E579C4"/>
    <w:pPr>
      <w:keepNext/>
      <w:keepLines/>
      <w:spacing w:after="240"/>
      <w:jc w:val="center"/>
    </w:pPr>
    <w:rPr>
      <w:b/>
      <w:i/>
    </w:rPr>
  </w:style>
  <w:style w:type="paragraph" w:customStyle="1" w:styleId="HdgCenterBold-Und">
    <w:name w:val="_Hdg Center Bold-Und"/>
    <w:basedOn w:val="Normal0"/>
    <w:rsid w:val="00E579C4"/>
    <w:pPr>
      <w:keepNext/>
      <w:keepLines/>
      <w:spacing w:after="240"/>
      <w:jc w:val="center"/>
    </w:pPr>
    <w:rPr>
      <w:b/>
      <w:u w:val="single"/>
    </w:rPr>
  </w:style>
  <w:style w:type="paragraph" w:customStyle="1" w:styleId="HdgCenterBold-Und-Italic">
    <w:name w:val="_Hdg Center Bold-Und-Italic"/>
    <w:basedOn w:val="Normal0"/>
    <w:rsid w:val="00E579C4"/>
    <w:pPr>
      <w:keepNext/>
      <w:keepLines/>
      <w:spacing w:after="240"/>
      <w:jc w:val="center"/>
    </w:pPr>
    <w:rPr>
      <w:b/>
      <w:i/>
      <w:u w:val="single"/>
    </w:rPr>
  </w:style>
  <w:style w:type="paragraph" w:customStyle="1" w:styleId="HdgCenterItalic">
    <w:name w:val="_Hdg Center Italic"/>
    <w:basedOn w:val="Normal0"/>
    <w:rsid w:val="00E579C4"/>
    <w:pPr>
      <w:keepNext/>
      <w:keepLines/>
      <w:spacing w:after="240"/>
      <w:jc w:val="center"/>
    </w:pPr>
    <w:rPr>
      <w:i/>
    </w:rPr>
  </w:style>
  <w:style w:type="paragraph" w:customStyle="1" w:styleId="HdgCenterUnd">
    <w:name w:val="_Hdg Center Und"/>
    <w:basedOn w:val="Normal0"/>
    <w:rsid w:val="00E579C4"/>
    <w:pPr>
      <w:keepNext/>
      <w:keepLines/>
      <w:spacing w:after="240"/>
      <w:jc w:val="center"/>
    </w:pPr>
    <w:rPr>
      <w:u w:val="single"/>
    </w:rPr>
  </w:style>
  <w:style w:type="paragraph" w:customStyle="1" w:styleId="HdgLeft">
    <w:name w:val="_Hdg Left"/>
    <w:basedOn w:val="Normal0"/>
    <w:rsid w:val="00E579C4"/>
    <w:pPr>
      <w:keepNext/>
      <w:keepLines/>
      <w:spacing w:after="240"/>
    </w:pPr>
  </w:style>
  <w:style w:type="paragraph" w:customStyle="1" w:styleId="HdgLeftBold">
    <w:name w:val="_Hdg Left Bold"/>
    <w:basedOn w:val="Normal0"/>
    <w:rsid w:val="00E579C4"/>
    <w:pPr>
      <w:keepNext/>
      <w:keepLines/>
      <w:spacing w:after="240"/>
    </w:pPr>
    <w:rPr>
      <w:b/>
    </w:rPr>
  </w:style>
  <w:style w:type="paragraph" w:customStyle="1" w:styleId="HdgLeftBold-Italic">
    <w:name w:val="_Hdg Left Bold-Italic"/>
    <w:basedOn w:val="Normal0"/>
    <w:rsid w:val="00E579C4"/>
    <w:pPr>
      <w:keepNext/>
      <w:keepLines/>
      <w:spacing w:after="240"/>
    </w:pPr>
    <w:rPr>
      <w:b/>
      <w:i/>
    </w:rPr>
  </w:style>
  <w:style w:type="paragraph" w:customStyle="1" w:styleId="HdgLeftBold-Und">
    <w:name w:val="_Hdg Left Bold-Und"/>
    <w:basedOn w:val="Normal0"/>
    <w:rsid w:val="00E579C4"/>
    <w:pPr>
      <w:keepNext/>
      <w:keepLines/>
      <w:spacing w:after="240"/>
    </w:pPr>
    <w:rPr>
      <w:b/>
      <w:u w:val="single"/>
    </w:rPr>
  </w:style>
  <w:style w:type="paragraph" w:customStyle="1" w:styleId="HdgLeftBold-Und-Italic">
    <w:name w:val="_Hdg Left Bold-Und-Italic"/>
    <w:basedOn w:val="Normal0"/>
    <w:rsid w:val="00E579C4"/>
    <w:pPr>
      <w:keepNext/>
      <w:keepLines/>
      <w:spacing w:after="240"/>
    </w:pPr>
    <w:rPr>
      <w:b/>
      <w:i/>
      <w:u w:val="single"/>
    </w:rPr>
  </w:style>
  <w:style w:type="paragraph" w:customStyle="1" w:styleId="HdgLeftItalic">
    <w:name w:val="_Hdg Left Italic"/>
    <w:basedOn w:val="Normal0"/>
    <w:rsid w:val="00E579C4"/>
    <w:pPr>
      <w:keepNext/>
      <w:keepLines/>
      <w:spacing w:after="240"/>
    </w:pPr>
    <w:rPr>
      <w:i/>
    </w:rPr>
  </w:style>
  <w:style w:type="paragraph" w:customStyle="1" w:styleId="HdgLeftUnd">
    <w:name w:val="_Hdg Left Und"/>
    <w:basedOn w:val="Normal0"/>
    <w:rsid w:val="00E579C4"/>
    <w:pPr>
      <w:keepNext/>
      <w:keepLines/>
      <w:spacing w:after="240"/>
    </w:pPr>
    <w:rPr>
      <w:u w:val="single"/>
    </w:rPr>
  </w:style>
  <w:style w:type="paragraph" w:customStyle="1" w:styleId="HdgRight">
    <w:name w:val="_Hdg Right"/>
    <w:basedOn w:val="Normal0"/>
    <w:rsid w:val="00E579C4"/>
    <w:pPr>
      <w:keepNext/>
      <w:keepLines/>
      <w:spacing w:after="240"/>
      <w:jc w:val="right"/>
    </w:pPr>
  </w:style>
  <w:style w:type="paragraph" w:customStyle="1" w:styleId="HdgRightBold">
    <w:name w:val="_Hdg Right Bold"/>
    <w:basedOn w:val="Normal0"/>
    <w:rsid w:val="00E579C4"/>
    <w:pPr>
      <w:keepNext/>
      <w:keepLines/>
      <w:spacing w:after="240"/>
      <w:jc w:val="right"/>
    </w:pPr>
    <w:rPr>
      <w:b/>
    </w:rPr>
  </w:style>
  <w:style w:type="paragraph" w:customStyle="1" w:styleId="HdgRightBold-Italic">
    <w:name w:val="_Hdg Right Bold-Italic"/>
    <w:basedOn w:val="Normal0"/>
    <w:rsid w:val="00E579C4"/>
    <w:pPr>
      <w:keepNext/>
      <w:keepLines/>
      <w:spacing w:after="240"/>
      <w:jc w:val="right"/>
    </w:pPr>
    <w:rPr>
      <w:b/>
      <w:i/>
    </w:rPr>
  </w:style>
  <w:style w:type="paragraph" w:customStyle="1" w:styleId="HdgRightBold-Und">
    <w:name w:val="_Hdg Right Bold-Und"/>
    <w:basedOn w:val="Normal0"/>
    <w:rsid w:val="00E579C4"/>
    <w:pPr>
      <w:keepNext/>
      <w:keepLines/>
      <w:spacing w:after="240"/>
      <w:jc w:val="right"/>
    </w:pPr>
    <w:rPr>
      <w:b/>
      <w:u w:val="single"/>
    </w:rPr>
  </w:style>
  <w:style w:type="paragraph" w:customStyle="1" w:styleId="HdgRightBold-Und-Italic">
    <w:name w:val="_Hdg Right Bold-Und-Italic"/>
    <w:basedOn w:val="Normal0"/>
    <w:rsid w:val="00E579C4"/>
    <w:pPr>
      <w:keepNext/>
      <w:keepLines/>
      <w:spacing w:after="240"/>
      <w:jc w:val="right"/>
    </w:pPr>
    <w:rPr>
      <w:b/>
      <w:i/>
      <w:u w:val="single"/>
    </w:rPr>
  </w:style>
  <w:style w:type="paragraph" w:customStyle="1" w:styleId="HdgRightItalic">
    <w:name w:val="_Hdg Right Italic"/>
    <w:basedOn w:val="Normal0"/>
    <w:rsid w:val="00E579C4"/>
    <w:pPr>
      <w:keepNext/>
      <w:keepLines/>
      <w:spacing w:after="240"/>
      <w:jc w:val="right"/>
    </w:pPr>
    <w:rPr>
      <w:i/>
    </w:rPr>
  </w:style>
  <w:style w:type="paragraph" w:customStyle="1" w:styleId="HdgRightUnd">
    <w:name w:val="_Hdg Right Und"/>
    <w:basedOn w:val="Normal0"/>
    <w:rsid w:val="00E579C4"/>
    <w:pPr>
      <w:keepNext/>
      <w:keepLines/>
      <w:spacing w:after="240"/>
      <w:jc w:val="right"/>
    </w:pPr>
    <w:rPr>
      <w:u w:val="single"/>
    </w:rPr>
  </w:style>
  <w:style w:type="paragraph" w:customStyle="1" w:styleId="Index">
    <w:name w:val="_Index"/>
    <w:basedOn w:val="Normal0"/>
    <w:rsid w:val="00E579C4"/>
    <w:pPr>
      <w:tabs>
        <w:tab w:val="right" w:pos="9360"/>
      </w:tabs>
    </w:pPr>
  </w:style>
  <w:style w:type="paragraph" w:customStyle="1" w:styleId="IndexDotLeaders">
    <w:name w:val="_Index Dot Leaders"/>
    <w:basedOn w:val="Normal0"/>
    <w:rsid w:val="00E579C4"/>
    <w:pPr>
      <w:tabs>
        <w:tab w:val="right" w:leader="dot" w:pos="8928"/>
        <w:tab w:val="right" w:pos="9360"/>
      </w:tabs>
    </w:pPr>
  </w:style>
  <w:style w:type="paragraph" w:customStyle="1" w:styleId="Non-NumberedHdg1">
    <w:name w:val="_Non-Numbered Hdg 1"/>
    <w:basedOn w:val="Normal0"/>
    <w:rsid w:val="00E579C4"/>
    <w:pPr>
      <w:keepNext/>
      <w:keepLines/>
      <w:spacing w:after="240"/>
      <w:jc w:val="center"/>
      <w:outlineLvl w:val="0"/>
    </w:pPr>
    <w:rPr>
      <w:b/>
      <w:u w:val="single"/>
    </w:rPr>
  </w:style>
  <w:style w:type="paragraph" w:customStyle="1" w:styleId="Non-NumberedHdg2">
    <w:name w:val="_Non-Numbered Hdg 2"/>
    <w:basedOn w:val="Normal0"/>
    <w:rsid w:val="00E579C4"/>
    <w:pPr>
      <w:keepNext/>
      <w:keepLines/>
      <w:spacing w:after="240"/>
      <w:outlineLvl w:val="1"/>
    </w:pPr>
    <w:rPr>
      <w:b/>
      <w:u w:val="single"/>
    </w:rPr>
  </w:style>
  <w:style w:type="paragraph" w:customStyle="1" w:styleId="Non-NumberedHdg3">
    <w:name w:val="_Non-Numbered Hdg 3"/>
    <w:basedOn w:val="Normal0"/>
    <w:rsid w:val="00E579C4"/>
    <w:pPr>
      <w:keepNext/>
      <w:keepLines/>
      <w:spacing w:after="240"/>
      <w:ind w:left="720"/>
      <w:outlineLvl w:val="2"/>
    </w:pPr>
    <w:rPr>
      <w:u w:val="single"/>
    </w:rPr>
  </w:style>
  <w:style w:type="paragraph" w:customStyle="1" w:styleId="TableCentered">
    <w:name w:val="_Table Centered"/>
    <w:basedOn w:val="Normal0"/>
    <w:rsid w:val="00E579C4"/>
    <w:pPr>
      <w:jc w:val="center"/>
    </w:pPr>
  </w:style>
  <w:style w:type="paragraph" w:customStyle="1" w:styleId="TableDecimalAlign">
    <w:name w:val="_Table Decimal Align"/>
    <w:basedOn w:val="Normal0"/>
    <w:rsid w:val="00E579C4"/>
    <w:pPr>
      <w:tabs>
        <w:tab w:val="decimal" w:pos="1080"/>
      </w:tabs>
    </w:pPr>
  </w:style>
  <w:style w:type="paragraph" w:customStyle="1" w:styleId="TableDotLeader">
    <w:name w:val="_Table Dot Leader"/>
    <w:basedOn w:val="Normal0"/>
    <w:rsid w:val="00E579C4"/>
    <w:pPr>
      <w:tabs>
        <w:tab w:val="right" w:leader="dot" w:pos="2160"/>
      </w:tabs>
    </w:pPr>
  </w:style>
  <w:style w:type="paragraph" w:customStyle="1" w:styleId="TableHeadingCentered">
    <w:name w:val="_Table Heading Centered"/>
    <w:basedOn w:val="Normal0"/>
    <w:rsid w:val="00E579C4"/>
    <w:pPr>
      <w:keepNext/>
      <w:keepLines/>
      <w:jc w:val="center"/>
    </w:pPr>
    <w:rPr>
      <w:b/>
    </w:rPr>
  </w:style>
  <w:style w:type="paragraph" w:customStyle="1" w:styleId="TableHeadingLeft">
    <w:name w:val="_Table Heading Left"/>
    <w:basedOn w:val="Normal0"/>
    <w:rsid w:val="00E579C4"/>
    <w:pPr>
      <w:keepNext/>
      <w:keepLines/>
    </w:pPr>
    <w:rPr>
      <w:b/>
    </w:rPr>
  </w:style>
  <w:style w:type="paragraph" w:customStyle="1" w:styleId="TableHeadingRight">
    <w:name w:val="_Table Heading Right"/>
    <w:basedOn w:val="Normal0"/>
    <w:rsid w:val="00E579C4"/>
    <w:pPr>
      <w:keepNext/>
      <w:keepLines/>
      <w:jc w:val="right"/>
    </w:pPr>
    <w:rPr>
      <w:b/>
    </w:rPr>
  </w:style>
  <w:style w:type="paragraph" w:customStyle="1" w:styleId="TableLeftAlign">
    <w:name w:val="_Table Left Align"/>
    <w:basedOn w:val="Normal0"/>
    <w:rsid w:val="00E579C4"/>
  </w:style>
  <w:style w:type="paragraph" w:customStyle="1" w:styleId="TableRightAlign">
    <w:name w:val="_Table Right Align"/>
    <w:basedOn w:val="Normal0"/>
    <w:rsid w:val="00E579C4"/>
    <w:pPr>
      <w:jc w:val="right"/>
    </w:pPr>
  </w:style>
  <w:style w:type="paragraph" w:customStyle="1" w:styleId="Level1">
    <w:name w:val="Level 1"/>
    <w:basedOn w:val="Normal0"/>
    <w:next w:val="15sp05"/>
    <w:link w:val="Level1Char"/>
    <w:rsid w:val="00E579C4"/>
    <w:pPr>
      <w:keepNext/>
      <w:numPr>
        <w:numId w:val="4"/>
      </w:numPr>
      <w:spacing w:line="360" w:lineRule="auto"/>
      <w:outlineLvl w:val="0"/>
    </w:pPr>
    <w:rPr>
      <w:b/>
    </w:rPr>
  </w:style>
  <w:style w:type="paragraph" w:customStyle="1" w:styleId="Level2">
    <w:name w:val="Level 2"/>
    <w:basedOn w:val="Normal0"/>
    <w:next w:val="15sp05"/>
    <w:rsid w:val="00E579C4"/>
    <w:pPr>
      <w:keepNext/>
      <w:numPr>
        <w:ilvl w:val="1"/>
        <w:numId w:val="4"/>
      </w:numPr>
      <w:spacing w:line="360" w:lineRule="auto"/>
      <w:outlineLvl w:val="1"/>
    </w:pPr>
    <w:rPr>
      <w:b/>
    </w:rPr>
  </w:style>
  <w:style w:type="paragraph" w:customStyle="1" w:styleId="Level3">
    <w:name w:val="Level 3"/>
    <w:basedOn w:val="Normal0"/>
    <w:next w:val="15sp05"/>
    <w:rsid w:val="00E579C4"/>
    <w:pPr>
      <w:keepNext/>
      <w:numPr>
        <w:ilvl w:val="2"/>
        <w:numId w:val="4"/>
      </w:numPr>
      <w:spacing w:line="360" w:lineRule="auto"/>
      <w:outlineLvl w:val="2"/>
    </w:pPr>
    <w:rPr>
      <w:b/>
    </w:rPr>
  </w:style>
  <w:style w:type="paragraph" w:customStyle="1" w:styleId="Level4">
    <w:name w:val="Level 4"/>
    <w:basedOn w:val="Normal0"/>
    <w:next w:val="15sp05"/>
    <w:rsid w:val="00E579C4"/>
    <w:pPr>
      <w:keepNext/>
      <w:numPr>
        <w:ilvl w:val="3"/>
        <w:numId w:val="4"/>
      </w:numPr>
      <w:spacing w:line="360" w:lineRule="auto"/>
      <w:outlineLvl w:val="3"/>
    </w:pPr>
    <w:rPr>
      <w:b/>
    </w:rPr>
  </w:style>
  <w:style w:type="paragraph" w:customStyle="1" w:styleId="Level5">
    <w:name w:val="Level 5"/>
    <w:basedOn w:val="Normal0"/>
    <w:next w:val="15sp05"/>
    <w:rsid w:val="00E579C4"/>
    <w:pPr>
      <w:keepNext/>
      <w:numPr>
        <w:ilvl w:val="4"/>
        <w:numId w:val="4"/>
      </w:numPr>
      <w:spacing w:line="360" w:lineRule="auto"/>
      <w:outlineLvl w:val="4"/>
    </w:pPr>
    <w:rPr>
      <w:b/>
    </w:rPr>
  </w:style>
  <w:style w:type="paragraph" w:customStyle="1" w:styleId="Level6">
    <w:name w:val="Level 6"/>
    <w:basedOn w:val="Normal0"/>
    <w:next w:val="15sp05"/>
    <w:rsid w:val="00E579C4"/>
    <w:pPr>
      <w:keepNext/>
      <w:numPr>
        <w:ilvl w:val="5"/>
        <w:numId w:val="4"/>
      </w:numPr>
      <w:spacing w:line="360" w:lineRule="auto"/>
      <w:outlineLvl w:val="5"/>
    </w:pPr>
    <w:rPr>
      <w:b/>
    </w:rPr>
  </w:style>
  <w:style w:type="paragraph" w:customStyle="1" w:styleId="Level7">
    <w:name w:val="Level 7"/>
    <w:basedOn w:val="Normal0"/>
    <w:next w:val="15sp05"/>
    <w:rsid w:val="00E579C4"/>
    <w:pPr>
      <w:keepNext/>
      <w:numPr>
        <w:ilvl w:val="6"/>
        <w:numId w:val="4"/>
      </w:numPr>
      <w:spacing w:line="360" w:lineRule="auto"/>
      <w:outlineLvl w:val="6"/>
    </w:pPr>
    <w:rPr>
      <w:b/>
    </w:rPr>
  </w:style>
  <w:style w:type="paragraph" w:customStyle="1" w:styleId="Level8">
    <w:name w:val="Level 8"/>
    <w:basedOn w:val="Normal0"/>
    <w:next w:val="15sp05"/>
    <w:rsid w:val="00E579C4"/>
    <w:pPr>
      <w:keepNext/>
      <w:numPr>
        <w:ilvl w:val="7"/>
        <w:numId w:val="4"/>
      </w:numPr>
      <w:spacing w:line="360" w:lineRule="auto"/>
      <w:outlineLvl w:val="7"/>
    </w:pPr>
    <w:rPr>
      <w:b/>
    </w:rPr>
  </w:style>
  <w:style w:type="paragraph" w:customStyle="1" w:styleId="Level9">
    <w:name w:val="Level 9"/>
    <w:basedOn w:val="Normal0"/>
    <w:next w:val="15sp05"/>
    <w:rsid w:val="00E579C4"/>
    <w:pPr>
      <w:keepNext/>
      <w:numPr>
        <w:ilvl w:val="8"/>
        <w:numId w:val="4"/>
      </w:numPr>
      <w:spacing w:line="360" w:lineRule="auto"/>
      <w:outlineLvl w:val="8"/>
    </w:pPr>
    <w:rPr>
      <w:b/>
    </w:rPr>
  </w:style>
  <w:style w:type="paragraph" w:customStyle="1" w:styleId="Level1Alt">
    <w:name w:val="Level 1 Alt"/>
    <w:basedOn w:val="Level1"/>
    <w:rsid w:val="00E579C4"/>
    <w:pPr>
      <w:outlineLvl w:val="9"/>
    </w:pPr>
  </w:style>
  <w:style w:type="paragraph" w:customStyle="1" w:styleId="Level2Alt">
    <w:name w:val="Level 2 Alt"/>
    <w:basedOn w:val="Level2"/>
    <w:rsid w:val="00E579C4"/>
    <w:pPr>
      <w:outlineLvl w:val="9"/>
    </w:pPr>
  </w:style>
  <w:style w:type="paragraph" w:customStyle="1" w:styleId="Level3Alt">
    <w:name w:val="Level 3 Alt"/>
    <w:basedOn w:val="Level3"/>
    <w:rsid w:val="00E579C4"/>
    <w:pPr>
      <w:outlineLvl w:val="9"/>
    </w:pPr>
  </w:style>
  <w:style w:type="paragraph" w:customStyle="1" w:styleId="Level4Alt">
    <w:name w:val="Level 4 Alt"/>
    <w:basedOn w:val="Level4"/>
    <w:rsid w:val="00E579C4"/>
    <w:pPr>
      <w:outlineLvl w:val="9"/>
    </w:pPr>
  </w:style>
  <w:style w:type="paragraph" w:styleId="Header">
    <w:name w:val="header"/>
    <w:basedOn w:val="Normal"/>
    <w:link w:val="HeaderChar"/>
    <w:unhideWhenUsed/>
    <w:rsid w:val="0010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E95"/>
  </w:style>
  <w:style w:type="paragraph" w:styleId="Footer">
    <w:name w:val="footer"/>
    <w:basedOn w:val="Normal"/>
    <w:link w:val="FooterChar"/>
    <w:uiPriority w:val="99"/>
    <w:unhideWhenUsed/>
    <w:rsid w:val="0010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E95"/>
  </w:style>
  <w:style w:type="paragraph" w:customStyle="1" w:styleId="Style0">
    <w:name w:val="Style0"/>
    <w:rsid w:val="00CB4FD8"/>
    <w:pPr>
      <w:autoSpaceDE w:val="0"/>
      <w:autoSpaceDN w:val="0"/>
      <w:adjustRightInd w:val="0"/>
      <w:spacing w:after="0" w:line="240" w:lineRule="auto"/>
    </w:pPr>
    <w:rPr>
      <w:rFonts w:ascii="Arial" w:eastAsia="Times New Roman" w:hAnsi="Arial" w:cs="Times New Roman"/>
      <w:sz w:val="24"/>
      <w:szCs w:val="24"/>
    </w:rPr>
  </w:style>
  <w:style w:type="character" w:customStyle="1" w:styleId="Level1Char">
    <w:name w:val="Level 1 Char"/>
    <w:link w:val="Level1"/>
    <w:rsid w:val="00CB4FD8"/>
    <w:rPr>
      <w:rFonts w:ascii="Calibri" w:eastAsia="SimSun" w:hAnsi="Calibri" w:cs="Arial"/>
      <w:b/>
      <w:szCs w:val="20"/>
    </w:rPr>
  </w:style>
  <w:style w:type="paragraph" w:styleId="FootnoteText">
    <w:name w:val="footnote text"/>
    <w:basedOn w:val="Normal0"/>
    <w:link w:val="FootnoteTextChar"/>
    <w:rsid w:val="009157EB"/>
    <w:pPr>
      <w:tabs>
        <w:tab w:val="left" w:pos="360"/>
      </w:tabs>
      <w:spacing w:after="120"/>
      <w:jc w:val="both"/>
    </w:pPr>
    <w:rPr>
      <w:rFonts w:ascii="Times New Roman" w:eastAsia="Times New Roman" w:hAnsi="Times New Roman" w:cs="Times New Roman"/>
      <w:sz w:val="20"/>
    </w:rPr>
  </w:style>
  <w:style w:type="character" w:customStyle="1" w:styleId="FootnoteTextChar">
    <w:name w:val="Footnote Text Char"/>
    <w:basedOn w:val="DefaultParagraphFont"/>
    <w:link w:val="FootnoteText"/>
    <w:rsid w:val="009157EB"/>
    <w:rPr>
      <w:rFonts w:ascii="Times New Roman" w:eastAsia="Times New Roman" w:hAnsi="Times New Roman" w:cs="Times New Roman"/>
      <w:sz w:val="20"/>
      <w:szCs w:val="20"/>
    </w:rPr>
  </w:style>
  <w:style w:type="character" w:styleId="FootnoteReference">
    <w:name w:val="footnote reference"/>
    <w:basedOn w:val="DefaultParagraphFont"/>
    <w:rsid w:val="009157EB"/>
    <w:rPr>
      <w:vertAlign w:val="superscript"/>
    </w:rPr>
  </w:style>
  <w:style w:type="character" w:styleId="Hyperlink">
    <w:name w:val="Hyperlink"/>
    <w:unhideWhenUsed/>
    <w:rsid w:val="009157EB"/>
    <w:rPr>
      <w:color w:val="0000FF"/>
      <w:u w:val="single"/>
    </w:rPr>
  </w:style>
  <w:style w:type="paragraph" w:styleId="EndnoteText">
    <w:name w:val="endnote text"/>
    <w:basedOn w:val="Normal"/>
    <w:link w:val="EndnoteTextChar"/>
    <w:rsid w:val="009157EB"/>
    <w:pPr>
      <w:spacing w:after="0" w:line="240" w:lineRule="auto"/>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rsid w:val="009157EB"/>
    <w:rPr>
      <w:rFonts w:ascii="Times New Roman" w:eastAsia="SimSun" w:hAnsi="Times New Roman" w:cs="Times New Roman"/>
      <w:sz w:val="20"/>
      <w:szCs w:val="20"/>
      <w:lang w:eastAsia="zh-CN"/>
    </w:rPr>
  </w:style>
  <w:style w:type="paragraph" w:styleId="ListBullet">
    <w:name w:val="List Bullet"/>
    <w:basedOn w:val="Normal"/>
    <w:rsid w:val="009D4D68"/>
    <w:pPr>
      <w:numPr>
        <w:numId w:val="20"/>
      </w:numPr>
      <w:spacing w:after="240" w:line="240" w:lineRule="auto"/>
      <w:jc w:val="both"/>
    </w:pPr>
    <w:rPr>
      <w:rFonts w:ascii="Times New Roman" w:eastAsia="SimSun" w:hAnsi="Times New Roman" w:cs="Times New Roman"/>
      <w:sz w:val="24"/>
      <w:szCs w:val="24"/>
      <w:lang w:eastAsia="zh-CN"/>
    </w:rPr>
  </w:style>
  <w:style w:type="paragraph" w:customStyle="1" w:styleId="DraftStamp">
    <w:name w:val="_Draft Stamp"/>
    <w:rsid w:val="00552C0E"/>
    <w:pPr>
      <w:spacing w:after="0" w:line="240" w:lineRule="auto"/>
      <w:jc w:val="center"/>
    </w:pPr>
    <w:rPr>
      <w:rFonts w:ascii="Arial" w:eastAsia="Times New Roman" w:hAnsi="Arial" w:cs="Arial"/>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340913">
      <w:bodyDiv w:val="1"/>
      <w:marLeft w:val="0"/>
      <w:marRight w:val="0"/>
      <w:marTop w:val="0"/>
      <w:marBottom w:val="0"/>
      <w:divBdr>
        <w:top w:val="none" w:sz="0" w:space="0" w:color="auto"/>
        <w:left w:val="none" w:sz="0" w:space="0" w:color="auto"/>
        <w:bottom w:val="none" w:sz="0" w:space="0" w:color="auto"/>
        <w:right w:val="none" w:sz="0" w:space="0" w:color="auto"/>
      </w:divBdr>
    </w:div>
    <w:div w:id="13878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csl.org/research/telecommunications-and-information-technology/security-breach-notification-law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3292</Words>
  <Characters>18767</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McGuire</dc:creator>
  <cp:lastModifiedBy>Becky McGuire</cp:lastModifiedBy>
  <cp:revision>2</cp:revision>
  <dcterms:created xsi:type="dcterms:W3CDTF">2019-02-04T18:59:00Z</dcterms:created>
  <dcterms:modified xsi:type="dcterms:W3CDTF">2019-02-04T18:59:00Z</dcterms:modified>
</cp:coreProperties>
</file>